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pPr>
      <w:r>
        <w:t xml:space="preserve">ПОЛИТИКА</w:t>
      </w:r>
      <w:r>
        <w:t xml:space="preserve"> </w:t>
      </w:r>
      <w:r/>
    </w:p>
    <w:p>
      <w:pPr>
        <w:jc w:val="center"/>
      </w:pPr>
      <w:r>
        <w:t xml:space="preserve">в отношении обработки персональных данных, использования файлов cookie и пользовательское соглашение</w:t>
      </w:r>
      <w:r/>
    </w:p>
    <w:p>
      <w:pPr>
        <w:jc w:val="center"/>
      </w:pPr>
      <w:r/>
      <w:r/>
    </w:p>
    <w:p>
      <w:pPr>
        <w:jc w:val="both"/>
      </w:pPr>
      <w:r>
        <w:rPr>
          <w:b/>
          <w:bCs/>
        </w:rPr>
        <w:t xml:space="preserve">Содержание</w:t>
      </w:r>
      <w:r/>
    </w:p>
    <w:p>
      <w:pPr>
        <w:jc w:val="both"/>
      </w:pPr>
      <w:r>
        <w:t xml:space="preserve">Перечень терминов</w:t>
      </w:r>
      <w:r/>
    </w:p>
    <w:p>
      <w:pPr>
        <w:jc w:val="both"/>
      </w:pPr>
      <w:r>
        <w:t xml:space="preserve">1 Общие положения</w:t>
      </w:r>
      <w:r/>
    </w:p>
    <w:p>
      <w:pPr>
        <w:jc w:val="both"/>
      </w:pPr>
      <w:r>
        <w:t xml:space="preserve">2 Принципы обработки персональных данных</w:t>
      </w:r>
      <w:r/>
    </w:p>
    <w:p>
      <w:pPr>
        <w:jc w:val="both"/>
      </w:pPr>
      <w:r>
        <w:t xml:space="preserve">3 Правовые основания обработки персональных данных</w:t>
      </w:r>
      <w:r/>
    </w:p>
    <w:p>
      <w:pPr>
        <w:jc w:val="both"/>
      </w:pPr>
      <w:r>
        <w:t xml:space="preserve">4 Порядок и условия обработки персональных данных</w:t>
      </w:r>
      <w:r/>
    </w:p>
    <w:p>
      <w:pPr>
        <w:jc w:val="both"/>
      </w:pPr>
      <w:r>
        <w:t xml:space="preserve">5 Цели обработки персональных данных</w:t>
      </w:r>
      <w:r/>
    </w:p>
    <w:p>
      <w:pPr>
        <w:jc w:val="both"/>
      </w:pPr>
      <w:r>
        <w:t xml:space="preserve">6 Файлы cookie и иные данные, собираемые автоматически</w:t>
      </w:r>
      <w:r/>
    </w:p>
    <w:p>
      <w:pPr>
        <w:jc w:val="both"/>
      </w:pPr>
      <w:r>
        <w:t xml:space="preserve">7 Права субъектов персональных данных</w:t>
      </w:r>
      <w:r/>
    </w:p>
    <w:p>
      <w:pPr>
        <w:jc w:val="both"/>
      </w:pPr>
      <w:r>
        <w:t xml:space="preserve">8 Порядок осуществления прав субъектов персональных данных</w:t>
      </w:r>
      <w:r/>
    </w:p>
    <w:p>
      <w:pPr>
        <w:jc w:val="both"/>
      </w:pPr>
      <w:r>
        <w:t xml:space="preserve">9 Конфиденциальность персональных данных</w:t>
      </w:r>
      <w:r/>
    </w:p>
    <w:p>
      <w:pPr>
        <w:jc w:val="both"/>
      </w:pPr>
      <w:r>
        <w:t xml:space="preserve">10 Пользовательское соглашение</w:t>
      </w:r>
      <w:r/>
    </w:p>
    <w:p>
      <w:pPr>
        <w:jc w:val="both"/>
      </w:pPr>
      <w:r>
        <w:t xml:space="preserve">11 Заключительные положения</w:t>
      </w:r>
      <w:r/>
    </w:p>
    <w:p>
      <w:pPr>
        <w:jc w:val="both"/>
      </w:pPr>
      <w:r>
        <w:t xml:space="preserve">Приложение А. Перечень лиц, которым поручена обработка персональных данных</w:t>
      </w:r>
      <w:r/>
    </w:p>
    <w:p>
      <w:pPr>
        <w:jc w:val="both"/>
      </w:pPr>
      <w:r>
        <w:t xml:space="preserve">Приложение Б. Шаблоны запросов субъекта персональных данных</w:t>
      </w:r>
      <w:r/>
    </w:p>
    <w:p>
      <w:pPr>
        <w:jc w:val="both"/>
      </w:pPr>
      <w:r/>
      <w:r/>
    </w:p>
    <w:p>
      <w:pPr>
        <w:jc w:val="both"/>
        <w:rPr>
          <w:b/>
          <w:bCs/>
        </w:rPr>
      </w:pPr>
      <w:r>
        <w:rPr>
          <w:b/>
          <w:bCs/>
        </w:rPr>
        <w:t xml:space="preserve">Перечень терминов</w:t>
      </w:r>
      <w:r>
        <w:rPr>
          <w:b/>
          <w:bCs/>
        </w:rPr>
      </w:r>
    </w:p>
    <w:p>
      <w:pPr>
        <w:jc w:val="both"/>
      </w:pPr>
      <w:r>
        <w:rPr>
          <w:b/>
          <w:bCs/>
        </w:rPr>
        <w:t xml:space="preserve">Персональные данные</w:t>
      </w:r>
      <w:r>
        <w:t xml:space="preserve">— любая информация, относящаяся к прямо или косвенно определенному или определяемому физическому лицу (субъекту персональных данных).</w:t>
      </w:r>
      <w:r/>
    </w:p>
    <w:p>
      <w:pPr>
        <w:jc w:val="both"/>
      </w:pPr>
      <w:r>
        <w:rPr>
          <w:b/>
          <w:bCs/>
        </w:rPr>
        <w:t xml:space="preserve">Оператор персональных данных</w:t>
      </w:r>
      <w:r>
        <w:rPr>
          <w:b/>
          <w:bCs/>
        </w:rPr>
        <w:t xml:space="preserve"> </w:t>
      </w:r>
      <w:r>
        <w:t xml:space="preserve">— </w:t>
      </w:r>
      <w:r>
        <w:t xml:space="preserve">Общество с ограниченной ответственностью </w:t>
      </w:r>
      <w:r>
        <w:t xml:space="preserve">«Г</w:t>
      </w:r>
      <w:r>
        <w:t xml:space="preserve">лобал </w:t>
      </w:r>
      <w:r>
        <w:t xml:space="preserve">В</w:t>
      </w:r>
      <w:r>
        <w:t xml:space="preserve">ижн</w:t>
      </w:r>
      <w:r>
        <w:t xml:space="preserve"> Ассет менеджмент ВиК»</w:t>
      </w:r>
      <w:r>
        <w:t xml:space="preserve"> самостоятельно или совместно с другими лицами организующи</w:t>
      </w:r>
      <w:r>
        <w:t xml:space="preserve">й</w:t>
      </w:r>
      <w:r>
        <w:t xml:space="preserve"> и (или) осуществляющи</w:t>
      </w:r>
      <w:r>
        <w:t xml:space="preserve">й</w:t>
      </w:r>
      <w:r>
        <w:t xml:space="preserve"> обработку персональных данных, а также определяющи</w:t>
      </w:r>
      <w:r>
        <w:t xml:space="preserve">й</w:t>
      </w:r>
      <w: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r/>
    </w:p>
    <w:p>
      <w:pPr>
        <w:jc w:val="both"/>
      </w:pPr>
      <w:r>
        <w:rPr>
          <w:b/>
          <w:bCs/>
        </w:rPr>
        <w:t xml:space="preserve">Обработка персональных данных</w:t>
      </w:r>
      <w: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p>
    <w:p>
      <w:pPr>
        <w:jc w:val="both"/>
      </w:pPr>
      <w:r>
        <w:rPr>
          <w:b/>
          <w:bCs/>
        </w:rPr>
        <w:t xml:space="preserve">Автоматизированная обработка персональных данных</w:t>
      </w:r>
      <w:r>
        <w:rPr>
          <w:b/>
          <w:bCs/>
        </w:rPr>
        <w:t xml:space="preserve"> </w:t>
      </w:r>
      <w:r>
        <w:t xml:space="preserve">— обработка персональных данных с помощью средств вычислительной техники.</w:t>
      </w:r>
      <w:r/>
    </w:p>
    <w:p>
      <w:pPr>
        <w:jc w:val="both"/>
      </w:pPr>
      <w:r>
        <w:rPr>
          <w:b/>
          <w:bCs/>
        </w:rPr>
        <w:t xml:space="preserve">Распространение персональных данных</w:t>
      </w:r>
      <w:r>
        <w:rPr>
          <w:b/>
          <w:bCs/>
        </w:rPr>
        <w:t xml:space="preserve"> </w:t>
      </w:r>
      <w:r>
        <w:t xml:space="preserve">— действия, направленные на раскрытие персональных данных неопределенному кругу лиц.</w:t>
      </w:r>
      <w:r/>
    </w:p>
    <w:p>
      <w:pPr>
        <w:jc w:val="both"/>
      </w:pPr>
      <w:r>
        <w:rPr>
          <w:b/>
          <w:bCs/>
        </w:rPr>
        <w:t xml:space="preserve">Предоставление персональных данных</w:t>
      </w:r>
      <w:r>
        <w:rPr>
          <w:b/>
          <w:bCs/>
        </w:rPr>
        <w:t xml:space="preserve"> </w:t>
      </w:r>
      <w:r>
        <w:t xml:space="preserve">— действия, направленные на раскрытие персональных данных определенному лицу или определенному кругу лиц.</w:t>
      </w:r>
      <w:r/>
    </w:p>
    <w:p>
      <w:pPr>
        <w:jc w:val="both"/>
      </w:pPr>
      <w:r>
        <w:rPr>
          <w:b/>
          <w:bCs/>
        </w:rPr>
        <w:t xml:space="preserve">Блокирование персональных данных</w:t>
      </w:r>
      <w:r>
        <w:rPr>
          <w:b/>
          <w:bCs/>
        </w:rPr>
        <w:t xml:space="preserve"> </w:t>
      </w:r>
      <w: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r/>
    </w:p>
    <w:p>
      <w:pPr>
        <w:jc w:val="both"/>
      </w:pPr>
      <w:r>
        <w:rPr>
          <w:b/>
          <w:bCs/>
        </w:rPr>
        <w:t xml:space="preserve">Уничтожение персональных данных</w:t>
      </w:r>
      <w:r>
        <w:rPr>
          <w:b/>
          <w:bCs/>
        </w:rPr>
        <w:t xml:space="preserve"> </w:t>
      </w:r>
      <w: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p>
    <w:p>
      <w:pPr>
        <w:jc w:val="both"/>
      </w:pPr>
      <w:r>
        <w:rPr>
          <w:b/>
          <w:bCs/>
        </w:rPr>
        <w:t xml:space="preserve">Информационная система персональных данных</w:t>
      </w:r>
      <w:r>
        <w:rPr>
          <w:b/>
          <w:bCs/>
        </w:rPr>
        <w:t xml:space="preserve"> </w:t>
      </w:r>
      <w: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r/>
    </w:p>
    <w:p>
      <w:pPr>
        <w:jc w:val="both"/>
      </w:pPr>
      <w:r>
        <w:rPr>
          <w:b/>
          <w:bCs/>
        </w:rPr>
        <w:t xml:space="preserve">Трансграничная передача персональных данных</w:t>
      </w:r>
      <w:r>
        <w:rPr>
          <w:b/>
          <w:bCs/>
        </w:rPr>
        <w:t xml:space="preserve"> </w:t>
      </w:r>
      <w:r>
        <w:t xml:space="preserve">—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p>
    <w:p>
      <w:pPr>
        <w:jc w:val="both"/>
      </w:pPr>
      <w:r>
        <w:rPr>
          <w:b/>
          <w:bCs/>
        </w:rPr>
        <w:t xml:space="preserve">Сайт</w:t>
      </w:r>
      <w:r>
        <w:rPr>
          <w:b/>
          <w:bCs/>
        </w:rPr>
        <w:t xml:space="preserve"> </w:t>
      </w:r>
      <w:r>
        <w:t xml:space="preserve">— интернет-сайт, </w:t>
      </w:r>
      <w:r>
        <w:t xml:space="preserve">расположенный на доменном имени</w:t>
      </w:r>
      <w:r>
        <w:t xml:space="preserve"> </w:t>
      </w:r>
      <w:r>
        <w:t xml:space="preserve">https://letoutmall.ru/</w:t>
      </w:r>
      <w:r>
        <w:t xml:space="preserve">, а также его поддоменах.</w:t>
      </w:r>
      <w:r/>
    </w:p>
    <w:p>
      <w:pPr>
        <w:jc w:val="both"/>
      </w:pPr>
      <w:r>
        <w:rPr>
          <w:b/>
          <w:bCs/>
        </w:rPr>
        <w:t xml:space="preserve">Пользователь</w:t>
      </w:r>
      <w:r>
        <w:rPr>
          <w:b/>
          <w:bCs/>
        </w:rPr>
        <w:t xml:space="preserve"> </w:t>
      </w:r>
      <w:r>
        <w:t xml:space="preserve">— лицо, имеющее доступ к Сайту посредством сети Интернет и использующее Сайт.</w:t>
      </w:r>
      <w:r/>
    </w:p>
    <w:p>
      <w:pPr>
        <w:jc w:val="both"/>
      </w:pPr>
      <w:r>
        <w:rPr>
          <w:b/>
          <w:bCs/>
        </w:rPr>
        <w:t xml:space="preserve">Cookie</w:t>
      </w:r>
      <w:r>
        <w:rPr>
          <w:b/>
          <w:bCs/>
        </w:rPr>
        <w:t xml:space="preserve"> </w:t>
      </w:r>
      <w:r>
        <w:t xml:space="preserve">— текстовые файлы, содержащие небольшой объем информации, которые отправляются браузеру Пользователя и хранятся на компьютере, мобильном телефоне или другом устройстве, с которого Пользователь заходит на Сайт.</w:t>
      </w:r>
      <w:r/>
    </w:p>
    <w:p>
      <w:pPr>
        <w:jc w:val="both"/>
      </w:pPr>
      <w:r/>
      <w:r/>
    </w:p>
    <w:p>
      <w:pPr>
        <w:jc w:val="both"/>
        <w:rPr>
          <w:b/>
          <w:bCs/>
        </w:rPr>
      </w:pPr>
      <w:r>
        <w:rPr>
          <w:b/>
          <w:bCs/>
        </w:rPr>
        <w:t xml:space="preserve">1. Общие положения</w:t>
      </w:r>
      <w:r>
        <w:rPr>
          <w:b/>
          <w:bCs/>
        </w:rPr>
      </w:r>
    </w:p>
    <w:p>
      <w:pPr>
        <w:jc w:val="both"/>
      </w:pPr>
      <w:r>
        <w:t xml:space="preserve">1.1. Настоящий документ определяет политику Общества с ограниченной ответственностью </w:t>
      </w:r>
      <w:r>
        <w:t xml:space="preserve">«Глобал Вижн Ассет менеджмент ВиК» </w:t>
      </w:r>
      <w:r>
        <w:t xml:space="preserve">(далее — Оператор) в отношении обработки персональных данных (далее — Политика).</w:t>
      </w:r>
      <w:r/>
    </w:p>
    <w:p>
      <w:pPr>
        <w:jc w:val="both"/>
      </w:pPr>
      <w:r>
        <w:t xml:space="preserve">1.2. Политика разработана в соответствии с Федеральным законом Российской Федерации от 27.07.</w:t>
      </w:r>
      <w:r>
        <w:t xml:space="preserve">2006 г. № 152-ФЗ «О персональных данных» (далее — ФЗ «О персональных данных»), устанавливающим основные принципы и условия обработки персональных данных, права, обязанности и ответственность участников отношений, связанных с обработкой персональных данных.</w:t>
      </w:r>
      <w:r/>
    </w:p>
    <w:p>
      <w:pPr>
        <w:jc w:val="both"/>
      </w:pPr>
      <w:r>
        <w:t xml:space="preserve">1.3. Политика распространяется на любое действие (операцию) или совокупность действий (операций), совершаемых с персональными данными с использованием средств автоматизации или без и</w:t>
      </w:r>
      <w:r>
        <w:t xml:space="preserve">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r/>
    </w:p>
    <w:p>
      <w:pPr>
        <w:jc w:val="both"/>
      </w:pPr>
      <w:r>
        <w:t xml:space="preserve">1.</w:t>
      </w:r>
      <w:r>
        <w:t xml:space="preserve">4. 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 В случае несогласия с условиями Политики Пользователь должен воздержаться от использования Сайта.</w:t>
      </w:r>
      <w:r/>
    </w:p>
    <w:p>
      <w:pPr>
        <w:jc w:val="both"/>
      </w:pPr>
      <w:r>
        <w:t xml:space="preserve">1.5. Настоящая Политика применяется только к Сайту. Оператор не контролирует и не несет ответственность за сайты третьих лиц, на которые Пользователь может перейти по ссылкам, доступным на Сайте.</w:t>
      </w:r>
      <w:r/>
    </w:p>
    <w:p>
      <w:pPr>
        <w:jc w:val="both"/>
      </w:pPr>
      <w:r>
        <w:t xml:space="preserve">1.6. Оператор имеет право по своему усмотрению изменять настоящую Политику. Новая редакция Политики размещается на Сайте и вступает в силу со дня ее опубликования.</w:t>
      </w:r>
      <w:r/>
    </w:p>
    <w:p>
      <w:pPr>
        <w:jc w:val="both"/>
      </w:pPr>
      <w:r>
        <w:t xml:space="preserve">1.7. В случае противоречия настоящей Политики или иных локальных актов Оператора требованиям законодательства</w:t>
      </w:r>
      <w:r>
        <w:t xml:space="preserve"> о персональных данных соответствующие положения не применяются до приведения их в соответствие с требованиями законодательства. При обработке персональных данных Оператор непосредственно руководствуется требованиями законодательства о персональных данных.</w:t>
      </w:r>
      <w:r/>
    </w:p>
    <w:p>
      <w:pPr>
        <w:jc w:val="both"/>
      </w:pPr>
      <w:r>
        <w:t xml:space="preserve">1.8. По всем вопрос</w:t>
      </w:r>
      <w:r>
        <w:t xml:space="preserve">ам, прямо не урегулированным настоящей Политикой, Оператор руководствуется законодательством Российской Федерации, разъяснениями уполномоченных органов, а также лучшими российскими и международными практиками в сфере обработки и защиты персональных данных.</w:t>
      </w:r>
      <w:r/>
    </w:p>
    <w:p>
      <w:pPr>
        <w:jc w:val="both"/>
      </w:pPr>
      <w:r/>
      <w:r/>
    </w:p>
    <w:p>
      <w:pPr>
        <w:jc w:val="both"/>
        <w:rPr>
          <w:b/>
          <w:bCs/>
        </w:rPr>
      </w:pPr>
      <w:r>
        <w:rPr>
          <w:b/>
          <w:bCs/>
        </w:rPr>
        <w:t xml:space="preserve">2. Принципы обработки персональных данных</w:t>
      </w:r>
      <w:r>
        <w:rPr>
          <w:b/>
          <w:bCs/>
        </w:rPr>
      </w:r>
    </w:p>
    <w:p>
      <w:pPr>
        <w:jc w:val="both"/>
      </w:pPr>
      <w:r>
        <w:t xml:space="preserve">Обработка персональных данных Оператором осуществляется на основе следующих принципов:</w:t>
      </w:r>
      <w:r/>
    </w:p>
    <w:p>
      <w:pPr>
        <w:jc w:val="both"/>
      </w:pPr>
      <w:r>
        <w:t xml:space="preserve">2.1. Персональные данные обрабатываются на законной и справедливой основе.</w:t>
      </w:r>
      <w:r/>
    </w:p>
    <w:p>
      <w:pPr>
        <w:jc w:val="both"/>
      </w:pPr>
      <w:r>
        <w:t xml:space="preserve">2.2. Персональные данные обрабатываются до достижения конкретных, заранее определённых и законных целей. Не допускается обработка персональных данных, несовместимая с целями сбора персональных данных.</w:t>
      </w:r>
      <w:r/>
    </w:p>
    <w:p>
      <w:pPr>
        <w:jc w:val="both"/>
      </w:pPr>
      <w:r>
        <w:t xml:space="preserve">2.3. Не допускается объединение баз данных, содержащих персональные данные, обработка которых осуществляется в целях, несовместимых между собой.</w:t>
      </w:r>
      <w:r/>
    </w:p>
    <w:p>
      <w:pPr>
        <w:jc w:val="both"/>
      </w:pPr>
      <w:r>
        <w:t xml:space="preserve">2.4. Обрабатываются только персональные данные, отвечающие заявленным целям их обработки.</w:t>
      </w:r>
      <w:r/>
    </w:p>
    <w:p>
      <w:pPr>
        <w:jc w:val="both"/>
      </w:pPr>
      <w:r>
        <w:t xml:space="preserve">2.5.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r/>
    </w:p>
    <w:p>
      <w:pPr>
        <w:jc w:val="both"/>
      </w:pPr>
      <w:r>
        <w:t xml:space="preserve">2.6. При обработке персональ</w:t>
      </w:r>
      <w:r>
        <w:t xml:space="preserve">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по удалению или уточнению неполных или неточных данных.</w:t>
      </w:r>
      <w:r/>
    </w:p>
    <w:p>
      <w:pPr>
        <w:jc w:val="both"/>
      </w:pPr>
      <w:r>
        <w:t xml:space="preserve">2.7. Персональные данные хранятся в фо</w:t>
      </w:r>
      <w:r>
        <w:t xml:space="preserve">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либо договором, стороной которого, выгодоприобретателем или </w:t>
      </w:r>
      <w:r>
        <w:t xml:space="preserve">поручителем</w:t>
      </w:r>
      <w:r>
        <w:t xml:space="preserve"> по которому является субъект персональных данных. Персональные данные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p>
    <w:p>
      <w:pPr>
        <w:jc w:val="both"/>
      </w:pPr>
      <w:r/>
      <w:r/>
    </w:p>
    <w:p>
      <w:pPr>
        <w:jc w:val="both"/>
        <w:rPr>
          <w:b/>
          <w:bCs/>
        </w:rPr>
      </w:pPr>
      <w:r>
        <w:rPr>
          <w:b/>
          <w:bCs/>
        </w:rPr>
        <w:t xml:space="preserve">3. Правовые основания обработки персональных данных</w:t>
      </w:r>
      <w:r>
        <w:rPr>
          <w:b/>
          <w:bCs/>
        </w:rPr>
      </w:r>
    </w:p>
    <w:p>
      <w:pPr>
        <w:pStyle w:val="694"/>
        <w:numPr>
          <w:ilvl w:val="1"/>
          <w:numId w:val="18"/>
        </w:numPr>
        <w:jc w:val="both"/>
      </w:pPr>
      <w:r>
        <w:t xml:space="preserve">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w:t>
      </w:r>
      <w:r/>
    </w:p>
    <w:p>
      <w:pPr>
        <w:pStyle w:val="694"/>
        <w:numPr>
          <w:ilvl w:val="0"/>
          <w:numId w:val="19"/>
        </w:numPr>
        <w:ind w:left="709" w:hanging="283"/>
        <w:jc w:val="both"/>
      </w:pPr>
      <w:r>
        <w:t xml:space="preserve">Конституция Российской Федерации; Гражданский кодекс Российской Федерации; Трудовой кодекс Российской Федерации; Налоговый кодекс Российской Федерации; </w:t>
      </w:r>
      <w:r>
        <w:t xml:space="preserve">Градостроительный кодекс Р</w:t>
      </w:r>
      <w:r>
        <w:t xml:space="preserve">оссийской </w:t>
      </w:r>
      <w:r>
        <w:t xml:space="preserve">Ф</w:t>
      </w:r>
      <w:r>
        <w:t xml:space="preserve">едерации</w:t>
      </w:r>
      <w:r>
        <w:t xml:space="preserve">; Земельный кодекс Р</w:t>
      </w:r>
      <w:r>
        <w:t xml:space="preserve">оссийской </w:t>
      </w:r>
      <w:r>
        <w:t xml:space="preserve">Ф</w:t>
      </w:r>
      <w:r>
        <w:t xml:space="preserve">едерации</w:t>
      </w:r>
      <w:r>
        <w:t xml:space="preserve">;</w:t>
      </w:r>
      <w:r>
        <w:rPr>
          <w:b/>
          <w:bCs/>
        </w:rPr>
        <w:t xml:space="preserve"> </w:t>
      </w:r>
      <w:r>
        <w:t xml:space="preserve">Федеральный закон от 27.07.2006 № 152-ФЗ «О персональных данных»; Федеральный закон от 27.07.2006 № </w:t>
      </w:r>
      <w:r>
        <w:t xml:space="preserve">149-ФЗ «Об информации, информационных технологиях и о защите информации»; Федеральный закон от 13.03.2006 № 38-ФЗ «О рекламе»; Федеральный закон от 07.07.2003 № 126-ФЗ «О связи»; Федеральный закон от 06.12.2011 № 402-ФЗ «О бухгалтерском учете»; Федеральный</w:t>
      </w:r>
      <w:r>
        <w:t xml:space="preserve"> </w:t>
      </w:r>
      <w:r>
        <w:t xml:space="preserve">закон</w:t>
      </w:r>
      <w:r>
        <w:t xml:space="preserve"> </w:t>
      </w:r>
      <w:r>
        <w:t xml:space="preserve">от 22 октября 2004 года № 125-ФЗ "Об архивном деле в Российской Федерации".</w:t>
      </w:r>
      <w:r/>
    </w:p>
    <w:p>
      <w:pPr>
        <w:numPr>
          <w:ilvl w:val="0"/>
          <w:numId w:val="17"/>
        </w:numPr>
        <w:jc w:val="both"/>
      </w:pPr>
      <w:r>
        <w:t xml:space="preserve">Указ Президента РФ от 06.03.1997 № 188 «Об утверждении перечня сведений конфиденциального характера»; Постановление Правительства РФ от 01.11.2012 № 1119 «Об утверждении требований к защите персональных данных при их обрабо</w:t>
      </w:r>
      <w:r>
        <w:t xml:space="preserve">тке в информационных системах персональных данных»; 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Приказ Роскомнадзора от</w:t>
      </w:r>
      <w:r>
        <w:t xml:space="preserve">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 иные нормативные правовые акты, регулирующие отношения, связанные с деятельностью Оператора.</w:t>
      </w:r>
      <w:r/>
    </w:p>
    <w:p>
      <w:pPr>
        <w:numPr>
          <w:ilvl w:val="0"/>
          <w:numId w:val="17"/>
        </w:numPr>
        <w:jc w:val="both"/>
      </w:pPr>
      <w:r>
        <w:t xml:space="preserve">Устав Общества с ограниченной ответственностью «</w:t>
      </w:r>
      <w:r>
        <w:t xml:space="preserve">Г</w:t>
      </w:r>
      <w:r>
        <w:t xml:space="preserve">лобал </w:t>
      </w:r>
      <w:r>
        <w:t xml:space="preserve">В</w:t>
      </w:r>
      <w:r>
        <w:t xml:space="preserve">ижн</w:t>
      </w:r>
      <w:r>
        <w:t xml:space="preserve"> Ассет менеджмент ВиК»</w:t>
      </w:r>
      <w:r>
        <w:t xml:space="preserve">; Положение об обработке </w:t>
      </w:r>
      <w:r>
        <w:t xml:space="preserve">и защите </w:t>
      </w:r>
      <w:r>
        <w:t xml:space="preserve">персональных данных; иные локальные акты, регламентирующие вопросы обработки и защиты персональных данных.</w:t>
      </w:r>
      <w:r/>
    </w:p>
    <w:p>
      <w:pPr>
        <w:numPr>
          <w:ilvl w:val="0"/>
          <w:numId w:val="17"/>
        </w:numPr>
        <w:jc w:val="both"/>
      </w:pPr>
      <w:r>
        <w:t xml:space="preserve">Договоры, заключаемые между Оператором и субъектами персональных данных, включая договоры купли-продажи, </w:t>
      </w:r>
      <w:r>
        <w:t xml:space="preserve">аренды, </w:t>
      </w:r>
      <w:r>
        <w:t xml:space="preserve">договоры оказания услуг, трудовые договоры с работниками Оператора, гражданско-правовые договоры с физическими лицами, а также иные договоры, стороной которых, выгодоприобретателем или </w:t>
      </w:r>
      <w:r>
        <w:t xml:space="preserve">поручителем</w:t>
      </w:r>
      <w:r>
        <w:t xml:space="preserve"> по которым является субъект персональных данных.</w:t>
      </w:r>
      <w:r/>
    </w:p>
    <w:p>
      <w:pPr>
        <w:numPr>
          <w:ilvl w:val="0"/>
          <w:numId w:val="17"/>
        </w:numPr>
        <w:jc w:val="both"/>
      </w:pPr>
      <w:r>
        <w:t xml:space="preserve">Согласие субъекта персональных данных на обработку его персональных данных (в случаях, не предусмотренных вышеуказанными правовыми основаниями), которое может быть предоставлено в письменной форме, в форме электронного документа, подписа</w:t>
      </w:r>
      <w:r>
        <w:t xml:space="preserve">нного простой электронной подписью, либо путем проставления отметки в чек-боксе на Сайте. Согласие на обработку персональных данных, разрешенных субъектом для распространения, оформляется отдельно в соответствии с Приказом Роскомнадзора от 24.02.2021 № 18.</w:t>
      </w:r>
      <w:r/>
    </w:p>
    <w:p>
      <w:pPr>
        <w:jc w:val="both"/>
        <w:rPr>
          <w:b/>
          <w:bCs/>
        </w:rPr>
      </w:pPr>
      <w:r>
        <w:rPr>
          <w:b/>
          <w:bCs/>
        </w:rPr>
        <w:t xml:space="preserve">4. Порядок и условия обработки персональных данных</w:t>
      </w:r>
      <w:r>
        <w:rPr>
          <w:b/>
          <w:bCs/>
        </w:rPr>
      </w:r>
    </w:p>
    <w:p>
      <w:pPr>
        <w:jc w:val="both"/>
      </w:pPr>
      <w:r>
        <w:t xml:space="preserve">4.1. Оператор осуществляет обработку персональных данных как с использованием средств автоматизации, так и без использования таки</w:t>
      </w:r>
      <w:r>
        <w:t xml:space="preserve">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p>
    <w:p>
      <w:pPr>
        <w:jc w:val="both"/>
      </w:pPr>
      <w:r>
        <w:t xml:space="preserve">4.2. Оператор не предоставляет и не раскрывает сведения, содержащие персональные данные субъектов, третьей стороне без согласия субъекта персональных данных, за исключением случаев, </w:t>
      </w:r>
      <w:r>
        <w:t xml:space="preserve">когда это необходимо в целях предупреждения угрозы жизни и здоровью, а также в случаях, установленных федеральными законами.</w:t>
      </w:r>
      <w:r/>
    </w:p>
    <w:p>
      <w:pPr>
        <w:jc w:val="both"/>
      </w:pPr>
      <w:r>
        <w:t xml:space="preserve">4.3. Согласие субъекта персональных данных на обработку его персональных данных может быть дано субъектом или его представителем в форме, позволяющей подтвердить факт его получения.</w:t>
      </w:r>
      <w:r/>
    </w:p>
    <w:p>
      <w:pPr>
        <w:jc w:val="both"/>
      </w:pPr>
      <w:r>
        <w:t xml:space="preserve">4.4. Оператор осуществляет передачу персональных данных третьим лицам, а также поручает обработку персональных данных другим лицам.</w:t>
      </w:r>
      <w:r>
        <w:t xml:space="preserve"> </w:t>
      </w:r>
      <w:r>
        <w:t xml:space="preserve">Перечень лиц, которым поручена обработка персональных данных (лица по поручению), приведен </w:t>
      </w:r>
      <w:r>
        <w:t xml:space="preserve">в Приложении А к</w:t>
      </w:r>
      <w:r>
        <w:t xml:space="preserve"> настоящей Политике</w:t>
      </w:r>
      <w:r>
        <w:rPr>
          <w:b/>
          <w:bCs/>
        </w:rPr>
        <w:t xml:space="preserve">.</w:t>
      </w:r>
      <w:r/>
    </w:p>
    <w:p>
      <w:pPr>
        <w:jc w:val="both"/>
      </w:pPr>
      <w:r>
        <w:t xml:space="preserve">4.5. В случаях поручения обработки персональных данных другому лицу Оператор заключает договор с этим лицом. При этом Оператор в договоре обязует лицо, осуществляющее обработку персональных данных по поручению Оператора, собл</w:t>
      </w:r>
      <w:r>
        <w:t xml:space="preserve">юдать принципы и правила обработки персональных данных, предусмотренные ФЗ «О персональных данных», а также обеспечивать конфиденциальность персональных данных. Ответственность перед субъектом персональных данных за действия указанного лица несет Оператор.</w:t>
      </w:r>
      <w:r/>
    </w:p>
    <w:p>
      <w:pPr>
        <w:jc w:val="both"/>
      </w:pPr>
      <w:r>
        <w:t xml:space="preserve">4.6. Оператор не осуществляет трансграничную передачу персональных данных.</w:t>
      </w:r>
      <w:r/>
    </w:p>
    <w:p>
      <w:pPr>
        <w:jc w:val="both"/>
      </w:pPr>
      <w:r>
        <w:t xml:space="preserve">4.7. Оператор обеспечивает </w:t>
      </w:r>
      <w:r>
        <w:t xml:space="preserve">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r/>
    </w:p>
    <w:p>
      <w:pPr>
        <w:jc w:val="both"/>
      </w:pPr>
      <w:r>
        <w:t xml:space="preserve">4.8. </w:t>
      </w:r>
      <w:r>
        <w:t xml:space="preserve">Для обеспечения безопасности персональных данных при их обработке Оператор принимает следующие необходимые правовые, организационные и технические меры:</w:t>
      </w:r>
      <w:r/>
    </w:p>
    <w:p>
      <w:pPr>
        <w:numPr>
          <w:ilvl w:val="0"/>
          <w:numId w:val="21"/>
        </w:numPr>
        <w:jc w:val="both"/>
      </w:pPr>
      <w:r>
        <w:t xml:space="preserve">назначение лица, ответственного за организацию обработки персональных данных;</w:t>
      </w:r>
      <w:r/>
    </w:p>
    <w:p>
      <w:pPr>
        <w:numPr>
          <w:ilvl w:val="0"/>
          <w:numId w:val="21"/>
        </w:numPr>
        <w:jc w:val="both"/>
      </w:pPr>
      <w:r>
        <w:t xml:space="preserve">издание локальных актов по вопросам обработки и защиты персональных данных, а также предотвращения и выявления нарушений законодательства о персональных данных, устранения последствий таких нарушений;</w:t>
      </w:r>
      <w:r/>
    </w:p>
    <w:p>
      <w:pPr>
        <w:numPr>
          <w:ilvl w:val="0"/>
          <w:numId w:val="21"/>
        </w:numPr>
        <w:jc w:val="both"/>
      </w:pPr>
      <w:r>
        <w:t xml:space="preserve">осуществление внутреннего контроля и (или) аудита соответствия порядка обработки персональных данных требованиям законодательства о персональных данных, настоящей Политике и иным локальным актам Оператора;</w:t>
      </w:r>
      <w:r/>
    </w:p>
    <w:p>
      <w:pPr>
        <w:numPr>
          <w:ilvl w:val="0"/>
          <w:numId w:val="21"/>
        </w:numPr>
        <w:jc w:val="both"/>
      </w:pPr>
      <w:r>
        <w:t xml:space="preserve">ознако</w:t>
      </w:r>
      <w:r>
        <w:t xml:space="preserve">мление работников Оператора, осуществляющих обработку персональных данных, с положениями законодательства о персональных данных, настоящей Политикой и иными локальными актами по вопросам обработки персональных данных, а также обучение указанных работников;</w:t>
      </w:r>
      <w:r/>
    </w:p>
    <w:p>
      <w:pPr>
        <w:numPr>
          <w:ilvl w:val="0"/>
          <w:numId w:val="21"/>
        </w:numPr>
        <w:jc w:val="both"/>
      </w:pPr>
      <w:r>
        <w:t xml:space="preserve">проведение оценки вреда, который может быть причинен субъектам персональных данных в случае нарушения законодательства о персональных данных, соотношение указанного вреда и принимаемых Оператором мер;</w:t>
      </w:r>
      <w:r/>
    </w:p>
    <w:p>
      <w:pPr>
        <w:numPr>
          <w:ilvl w:val="0"/>
          <w:numId w:val="21"/>
        </w:numPr>
        <w:jc w:val="both"/>
      </w:pPr>
      <w:r>
        <w:t xml:space="preserve">определение угроз безопасности персональных данных при их обработке, формирование на их основе модели угроз и их нейтрализация;</w:t>
      </w:r>
      <w:r/>
    </w:p>
    <w:p>
      <w:pPr>
        <w:numPr>
          <w:ilvl w:val="0"/>
          <w:numId w:val="21"/>
        </w:numPr>
        <w:jc w:val="both"/>
      </w:pPr>
      <w:r>
        <w:t xml:space="preserve">применение средств защиты информации, прошедших в установленном порядке процедуру оценки соответствия, для нейтрализации актуальных угроз безопасности персональных данных;</w:t>
      </w:r>
      <w:r/>
    </w:p>
    <w:p>
      <w:pPr>
        <w:numPr>
          <w:ilvl w:val="0"/>
          <w:numId w:val="21"/>
        </w:numPr>
        <w:jc w:val="both"/>
      </w:pPr>
      <w:r>
        <w:t xml:space="preserve">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p>
    <w:p>
      <w:pPr>
        <w:numPr>
          <w:ilvl w:val="0"/>
          <w:numId w:val="21"/>
        </w:numPr>
        <w:jc w:val="both"/>
      </w:pPr>
      <w:r>
        <w:t xml:space="preserve">учет машинных носителей персональных данных, а также определение правил их хранения и использования;</w:t>
      </w:r>
      <w:r/>
    </w:p>
    <w:p>
      <w:pPr>
        <w:numPr>
          <w:ilvl w:val="0"/>
          <w:numId w:val="21"/>
        </w:numPr>
        <w:jc w:val="both"/>
      </w:pPr>
      <w:r>
        <w:t xml:space="preserve">мониторинг фактов несанкционированного доступа к персональным данным и принятие соответствующих мер;</w:t>
      </w:r>
      <w:r/>
    </w:p>
    <w:p>
      <w:pPr>
        <w:numPr>
          <w:ilvl w:val="0"/>
          <w:numId w:val="21"/>
        </w:numPr>
        <w:jc w:val="both"/>
      </w:pPr>
      <w:r>
        <w:t xml:space="preserve">восстановление персональных данных, модифицированных или уничтоженных вследствие несанкционированного доступа к ним;</w:t>
      </w:r>
      <w:r/>
    </w:p>
    <w:p>
      <w:pPr>
        <w:numPr>
          <w:ilvl w:val="0"/>
          <w:numId w:val="21"/>
        </w:numPr>
        <w:jc w:val="both"/>
      </w:pPr>
      <w:r>
        <w:t xml:space="preserve">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w:t>
      </w:r>
      <w:r/>
    </w:p>
    <w:p>
      <w:pPr>
        <w:numPr>
          <w:ilvl w:val="0"/>
          <w:numId w:val="21"/>
        </w:numPr>
        <w:jc w:val="both"/>
      </w:pPr>
      <w:r>
        <w:t xml:space="preserve">контроль за принимаемыми мерами по обеспечению безопасности персональных данных и уровнем защищенности информационных систем персональных данных;</w:t>
      </w:r>
      <w:r/>
    </w:p>
    <w:p>
      <w:pPr>
        <w:numPr>
          <w:ilvl w:val="0"/>
          <w:numId w:val="21"/>
        </w:numPr>
        <w:jc w:val="both"/>
      </w:pPr>
      <w:r>
        <w:t xml:space="preserve">организация режима доступа в помещения, в которых размещены информационные системы персональных данных, исключающего возможность несанкционированного проникновения или пребывания в этих помещениях;</w:t>
      </w:r>
      <w:r/>
    </w:p>
    <w:p>
      <w:pPr>
        <w:numPr>
          <w:ilvl w:val="0"/>
          <w:numId w:val="21"/>
        </w:numPr>
        <w:jc w:val="both"/>
      </w:pPr>
      <w:r>
        <w:t xml:space="preserve">утверждение перечня лиц, которым доступ к персональным данным, обрабатываемым в информационных системах, необходим для выполнения ими служебных (трудовых) обязанностей;</w:t>
      </w:r>
      <w:r/>
    </w:p>
    <w:p>
      <w:pPr>
        <w:numPr>
          <w:ilvl w:val="0"/>
          <w:numId w:val="21"/>
        </w:numPr>
        <w:jc w:val="both"/>
      </w:pPr>
      <w:r>
        <w:t xml:space="preserve">обеспечение выполнения требований к защите персональных данных, установленных уполномоченными органами государственной власти, в соответствии с уровнем защищенности персональных данных.</w:t>
      </w:r>
      <w:r/>
    </w:p>
    <w:p>
      <w:pPr>
        <w:jc w:val="both"/>
      </w:pPr>
      <w:r>
        <w:t xml:space="preserve">4.9. Условием прекращения обработки персональ</w:t>
      </w:r>
      <w:r>
        <w:t xml:space="preserve">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r/>
    </w:p>
    <w:p>
      <w:pPr>
        <w:jc w:val="both"/>
      </w:pPr>
      <w:r>
        <w:t xml:space="preserve">4.10. При обработке персональных данных, осуществляемой без использования средств автом</w:t>
      </w:r>
      <w:r>
        <w:t xml:space="preserve">атизации, выполняются требования, установленные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r/>
    </w:p>
    <w:p>
      <w:pPr>
        <w:jc w:val="both"/>
      </w:pPr>
      <w:r>
        <w:t xml:space="preserve">4.11. Персональные данные субъекта хранятся </w:t>
      </w:r>
      <w:r>
        <w:t xml:space="preserve">в течение всего срока действия договоров с данным субъектом, а также в течение сроков, установленных законодательством РФ для хранения соответствующих документов (но не более 10 лет после прекращения действия договоров, если иное не предусмотрено законом).</w:t>
      </w:r>
      <w:r/>
    </w:p>
    <w:p>
      <w:pPr>
        <w:jc w:val="both"/>
        <w:rPr>
          <w:b/>
          <w:bCs/>
        </w:rPr>
      </w:pPr>
      <w:r>
        <w:rPr>
          <w:b/>
          <w:bCs/>
        </w:rPr>
        <w:t xml:space="preserve">5. Цели обработки персональных данных</w:t>
      </w:r>
      <w:r>
        <w:rPr>
          <w:b/>
          <w:bCs/>
        </w:rPr>
      </w:r>
    </w:p>
    <w:tbl>
      <w:tblPr>
        <w:tblW w:w="9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5" w:type="dxa"/>
          <w:top w:w="15" w:type="dxa"/>
          <w:right w:w="15" w:type="dxa"/>
          <w:bottom w:w="15" w:type="dxa"/>
        </w:tblCellMar>
        <w:tblLook w:val="04A0" w:firstRow="1" w:lastRow="0" w:firstColumn="1" w:lastColumn="0" w:noHBand="0" w:noVBand="1"/>
      </w:tblPr>
      <w:tblGrid>
        <w:gridCol w:w="2562"/>
        <w:gridCol w:w="3387"/>
        <w:gridCol w:w="3650"/>
      </w:tblGrid>
      <w:tr>
        <w:tblPrEx/>
        <w:trPr>
          <w:tblHeader/>
        </w:trPr>
        <w:tc>
          <w:tcPr>
            <w:tcMar>
              <w:left w:w="0" w:type="dxa"/>
              <w:top w:w="150" w:type="dxa"/>
              <w:right w:w="240" w:type="dxa"/>
              <w:bottom w:w="150" w:type="dxa"/>
            </w:tcMar>
            <w:tcW w:w="2562" w:type="dxa"/>
            <w:vAlign w:val="center"/>
            <w:textDirection w:val="lrTb"/>
            <w:noWrap w:val="false"/>
          </w:tcPr>
          <w:p>
            <w:pPr>
              <w:jc w:val="both"/>
            </w:pPr>
            <w:r>
              <w:rPr>
                <w:b/>
                <w:bCs/>
              </w:rPr>
              <w:t xml:space="preserve">Категория субъектов персональных данных</w:t>
            </w:r>
            <w:r/>
          </w:p>
        </w:tc>
        <w:tc>
          <w:tcPr>
            <w:tcMar>
              <w:left w:w="240" w:type="dxa"/>
              <w:top w:w="150" w:type="dxa"/>
              <w:right w:w="240" w:type="dxa"/>
              <w:bottom w:w="150" w:type="dxa"/>
            </w:tcMar>
            <w:tcW w:w="3387" w:type="dxa"/>
            <w:vAlign w:val="center"/>
            <w:textDirection w:val="lrTb"/>
            <w:noWrap w:val="false"/>
          </w:tcPr>
          <w:p>
            <w:pPr>
              <w:jc w:val="both"/>
            </w:pPr>
            <w:r>
              <w:rPr>
                <w:b/>
                <w:bCs/>
              </w:rPr>
              <w:t xml:space="preserve">Перечень персональных данных</w:t>
            </w:r>
            <w:r/>
          </w:p>
        </w:tc>
        <w:tc>
          <w:tcPr>
            <w:tcMar>
              <w:left w:w="240" w:type="dxa"/>
              <w:top w:w="150" w:type="dxa"/>
              <w:right w:w="240" w:type="dxa"/>
              <w:bottom w:w="150" w:type="dxa"/>
            </w:tcMar>
            <w:tcW w:w="3650" w:type="dxa"/>
            <w:vAlign w:val="center"/>
            <w:textDirection w:val="lrTb"/>
            <w:noWrap w:val="false"/>
          </w:tcPr>
          <w:p>
            <w:pPr>
              <w:jc w:val="both"/>
            </w:pPr>
            <w:r>
              <w:rPr>
                <w:b/>
                <w:bCs/>
              </w:rPr>
              <w:t xml:space="preserve">Цели обработки</w:t>
            </w:r>
            <w:r/>
          </w:p>
        </w:tc>
      </w:tr>
      <w:tr>
        <w:tblPrEx/>
        <w:trPr/>
        <w:tc>
          <w:tcPr>
            <w:tcMar>
              <w:left w:w="0" w:type="dxa"/>
              <w:top w:w="150" w:type="dxa"/>
              <w:right w:w="240" w:type="dxa"/>
              <w:bottom w:w="150" w:type="dxa"/>
            </w:tcMar>
            <w:tcW w:w="2562" w:type="dxa"/>
            <w:vAlign w:val="center"/>
            <w:textDirection w:val="lrTb"/>
            <w:noWrap w:val="false"/>
          </w:tcPr>
          <w:p>
            <w:r>
              <w:rPr>
                <w:b/>
                <w:bCs/>
              </w:rPr>
              <w:t xml:space="preserve">Пользователи сайта</w:t>
            </w:r>
            <w:r>
              <w:rPr>
                <w:b/>
                <w:bCs/>
              </w:rPr>
              <w:t xml:space="preserve"> (просмотр)</w:t>
            </w:r>
            <w:r/>
          </w:p>
        </w:tc>
        <w:tc>
          <w:tcPr>
            <w:tcMar>
              <w:left w:w="240" w:type="dxa"/>
              <w:top w:w="150" w:type="dxa"/>
              <w:right w:w="240" w:type="dxa"/>
              <w:bottom w:w="150" w:type="dxa"/>
            </w:tcMar>
            <w:tcW w:w="3387" w:type="dxa"/>
            <w:vAlign w:val="center"/>
            <w:textDirection w:val="lrTb"/>
            <w:noWrap w:val="false"/>
          </w:tcPr>
          <w:p>
            <w:r>
              <w:t xml:space="preserve">- IP-адрес;</w:t>
            </w:r>
            <w:r/>
          </w:p>
          <w:p>
            <w:r>
              <w:t xml:space="preserve">- сведения о пользовательском устройстве и используемом браузере;</w:t>
            </w:r>
            <w:r/>
          </w:p>
          <w:p>
            <w:r>
              <w:t xml:space="preserve">- сведения о взаимодействии с сайтом Оператора (источник перехода на сайт, просматриваемые страницы, взаимодействие с объектами и страницами, параметры сессии, данные о времени посещения и пр.);</w:t>
            </w:r>
            <w:r/>
          </w:p>
          <w:p>
            <w:r>
              <w:t xml:space="preserve">- файлы cookie</w:t>
            </w:r>
            <w:r/>
          </w:p>
        </w:tc>
        <w:tc>
          <w:tcPr>
            <w:tcMar>
              <w:left w:w="240" w:type="dxa"/>
              <w:top w:w="150" w:type="dxa"/>
              <w:right w:w="0" w:type="dxa"/>
              <w:bottom w:w="150" w:type="dxa"/>
            </w:tcMar>
            <w:tcW w:w="3650" w:type="dxa"/>
            <w:vAlign w:val="center"/>
            <w:textDirection w:val="lrTb"/>
            <w:noWrap w:val="false"/>
          </w:tcPr>
          <w:p>
            <w:r>
              <w:t xml:space="preserve">- обеспечение корректного функционирования сайта;</w:t>
            </w:r>
            <w:r/>
          </w:p>
          <w:p>
            <w:r>
              <w:t xml:space="preserve">- сохранение настроек использования сайта;</w:t>
            </w:r>
            <w:r/>
          </w:p>
          <w:p>
            <w:r>
              <w:t xml:space="preserve">- проведение анализа информации, необходимой для улучшения работы сайта;</w:t>
            </w:r>
            <w:r/>
          </w:p>
          <w:p>
            <w:r>
              <w:t xml:space="preserve">- направление рекламной информации (при наличии отдельного согласия на рекламу);</w:t>
            </w:r>
            <w:r/>
          </w:p>
          <w:p>
            <w:r>
              <w:t xml:space="preserve">- персонализация рекламы и предложений с учетом предпочтений Пользователя</w:t>
            </w:r>
            <w:r/>
          </w:p>
        </w:tc>
      </w:tr>
      <w:tr>
        <w:tblPrEx/>
        <w:trPr/>
        <w:tc>
          <w:tcPr>
            <w:tcMar>
              <w:left w:w="0" w:type="dxa"/>
              <w:top w:w="150" w:type="dxa"/>
              <w:right w:w="240" w:type="dxa"/>
              <w:bottom w:w="150" w:type="dxa"/>
            </w:tcMar>
            <w:tcW w:w="2562" w:type="dxa"/>
            <w:vAlign w:val="center"/>
            <w:textDirection w:val="lrTb"/>
            <w:noWrap w:val="false"/>
          </w:tcPr>
          <w:p>
            <w:pPr>
              <w:rPr>
                <w:b/>
                <w:bCs/>
              </w:rPr>
            </w:pPr>
            <w:r>
              <w:rPr>
                <w:b/>
                <w:bCs/>
              </w:rPr>
              <w:t xml:space="preserve">Потенциальные арендаторы (заявки на аренду)</w:t>
            </w:r>
            <w:r>
              <w:rPr>
                <w:b/>
                <w:bCs/>
              </w:rPr>
            </w:r>
          </w:p>
        </w:tc>
        <w:tc>
          <w:tcPr>
            <w:tcMar>
              <w:left w:w="240" w:type="dxa"/>
              <w:top w:w="150" w:type="dxa"/>
              <w:right w:w="240" w:type="dxa"/>
              <w:bottom w:w="150" w:type="dxa"/>
            </w:tcMar>
            <w:tcW w:w="3387" w:type="dxa"/>
            <w:vAlign w:val="center"/>
            <w:textDirection w:val="lrTb"/>
            <w:noWrap w:val="false"/>
          </w:tcPr>
          <w:p>
            <w:r>
              <w:t xml:space="preserve">• Ф.И.О. контактного лица;</w:t>
            </w:r>
            <w:r>
              <w:br/>
              <w:t xml:space="preserve">• наименование компании (при наличии);</w:t>
            </w:r>
            <w:r>
              <w:br/>
              <w:t xml:space="preserve">• контактный телефон;</w:t>
            </w:r>
            <w:r>
              <w:br/>
              <w:t xml:space="preserve">• адрес электронной почты;</w:t>
            </w:r>
            <w:r>
              <w:br/>
              <w:t xml:space="preserve">• интересующие параметры помещения (площадь, этаж и т.п.).</w:t>
            </w:r>
            <w:r/>
          </w:p>
        </w:tc>
        <w:tc>
          <w:tcPr>
            <w:tcMar>
              <w:left w:w="240" w:type="dxa"/>
              <w:top w:w="150" w:type="dxa"/>
              <w:right w:w="0" w:type="dxa"/>
              <w:bottom w:w="150" w:type="dxa"/>
            </w:tcMar>
            <w:tcW w:w="3650" w:type="dxa"/>
            <w:vAlign w:val="center"/>
            <w:textDirection w:val="lrTb"/>
            <w:noWrap w:val="false"/>
          </w:tcPr>
          <w:p>
            <w:r>
              <w:t xml:space="preserve">• обработка запросов на аренду;</w:t>
            </w:r>
            <w:r>
              <w:br/>
              <w:t xml:space="preserve">• консультирование по условиям аренды;</w:t>
            </w:r>
            <w:r>
              <w:br/>
              <w:t xml:space="preserve">• подготовка коммерческих предложений;</w:t>
            </w:r>
            <w:r>
              <w:br/>
              <w:t xml:space="preserve">• взаимодействие с потенциальными арендаторами.</w:t>
            </w:r>
            <w:r/>
          </w:p>
        </w:tc>
      </w:tr>
      <w:tr>
        <w:tblPrEx/>
        <w:trPr/>
        <w:tc>
          <w:tcPr>
            <w:tcMar>
              <w:left w:w="0" w:type="dxa"/>
              <w:top w:w="150" w:type="dxa"/>
              <w:right w:w="240" w:type="dxa"/>
              <w:bottom w:w="150" w:type="dxa"/>
            </w:tcMar>
            <w:tcW w:w="2562" w:type="dxa"/>
            <w:vAlign w:val="center"/>
            <w:textDirection w:val="lrTb"/>
            <w:noWrap w:val="false"/>
          </w:tcPr>
          <w:p>
            <w:pPr>
              <w:rPr>
                <w:lang w:val="en-US"/>
              </w:rPr>
            </w:pPr>
            <w:r>
              <w:rPr>
                <w:b/>
                <w:bCs/>
              </w:rPr>
              <w:t xml:space="preserve">Арендаторы / контрагенты</w:t>
            </w:r>
            <w:r>
              <w:rPr>
                <w:lang w:val="en-US"/>
              </w:rPr>
            </w:r>
          </w:p>
        </w:tc>
        <w:tc>
          <w:tcPr>
            <w:tcMar>
              <w:left w:w="240" w:type="dxa"/>
              <w:top w:w="150" w:type="dxa"/>
              <w:right w:w="240" w:type="dxa"/>
              <w:bottom w:w="150" w:type="dxa"/>
            </w:tcMar>
            <w:tcW w:w="3387" w:type="dxa"/>
            <w:vAlign w:val="center"/>
            <w:textDirection w:val="lrTb"/>
            <w:noWrap w:val="false"/>
          </w:tcPr>
          <w:p>
            <w:r>
              <w:t xml:space="preserve">• Ф.И.О. руководителя / представителя;</w:t>
            </w:r>
            <w:r>
              <w:br/>
              <w:t xml:space="preserve">• контактный телефон, e-mail;</w:t>
            </w:r>
            <w:r>
              <w:br/>
              <w:t xml:space="preserve">• данные о компании (наименование, ИНН, ОГРН, юр. адрес);</w:t>
            </w:r>
            <w:r>
              <w:br/>
              <w:t xml:space="preserve">• паспортные данные представителя (при заключении договора).</w:t>
            </w:r>
            <w:r/>
          </w:p>
        </w:tc>
        <w:tc>
          <w:tcPr>
            <w:tcMar>
              <w:left w:w="240" w:type="dxa"/>
              <w:top w:w="150" w:type="dxa"/>
              <w:right w:w="0" w:type="dxa"/>
              <w:bottom w:w="150" w:type="dxa"/>
            </w:tcMar>
            <w:tcW w:w="3650" w:type="dxa"/>
            <w:vAlign w:val="center"/>
            <w:textDirection w:val="lrTb"/>
            <w:noWrap w:val="false"/>
          </w:tcPr>
          <w:p>
            <w:r>
              <w:t xml:space="preserve">• заключение и исполнение договоров аренды, субаренды, оказания услуг;</w:t>
            </w:r>
            <w:r>
              <w:br/>
              <w:t xml:space="preserve">• выставление счетов, актов, сверок;</w:t>
            </w:r>
            <w:r>
              <w:br/>
              <w:t xml:space="preserve">• взаимодействие по текущим вопросам (эксплуатация, ремонты, мероприятия).</w:t>
            </w:r>
            <w:r/>
          </w:p>
          <w:p>
            <w:r>
              <w:t xml:space="preserve">• координация работ по обслуживанию ТЦ;</w:t>
            </w:r>
            <w:r/>
          </w:p>
          <w:p>
            <w:pPr>
              <w:rPr>
                <w:lang w:val="en-US"/>
              </w:rPr>
            </w:pPr>
            <w:r>
              <w:t xml:space="preserve">• обеспечение безопасности и порядка</w:t>
            </w:r>
            <w:r>
              <w:rPr>
                <w:lang w:val="en-US"/>
              </w:rPr>
            </w:r>
          </w:p>
        </w:tc>
      </w:tr>
      <w:tr>
        <w:tblPrEx/>
        <w:trPr/>
        <w:tc>
          <w:tcPr>
            <w:tcMar>
              <w:left w:w="0" w:type="dxa"/>
              <w:top w:w="150" w:type="dxa"/>
              <w:right w:w="240" w:type="dxa"/>
              <w:bottom w:w="150" w:type="dxa"/>
            </w:tcMar>
            <w:tcW w:w="2562" w:type="dxa"/>
            <w:vAlign w:val="center"/>
            <w:textDirection w:val="lrTb"/>
            <w:noWrap w:val="false"/>
          </w:tcPr>
          <w:p>
            <w:r>
              <w:rPr>
                <w:b/>
                <w:bCs/>
              </w:rPr>
              <w:t xml:space="preserve">Посетители мероприятий (конкурсы, акции, праздники)</w:t>
            </w:r>
            <w:r/>
          </w:p>
        </w:tc>
        <w:tc>
          <w:tcPr>
            <w:tcMar>
              <w:left w:w="240" w:type="dxa"/>
              <w:top w:w="150" w:type="dxa"/>
              <w:right w:w="240" w:type="dxa"/>
              <w:bottom w:w="150" w:type="dxa"/>
            </w:tcMar>
            <w:tcW w:w="3387" w:type="dxa"/>
            <w:vAlign w:val="center"/>
            <w:textDirection w:val="lrTb"/>
            <w:noWrap w:val="false"/>
          </w:tcPr>
          <w:p>
            <w:r>
              <w:t xml:space="preserve">• Ф.И.О.;</w:t>
            </w:r>
            <w:r>
              <w:br/>
              <w:t xml:space="preserve">• контактный телефон;</w:t>
            </w:r>
            <w:r>
              <w:br/>
              <w:t xml:space="preserve">• возраст (для участия в возрастных мероприятиях);</w:t>
            </w:r>
            <w:r>
              <w:br/>
              <w:t xml:space="preserve">• фото- и видеоматериалы </w:t>
            </w:r>
            <w:r>
              <w:t xml:space="preserve">(при проведении публичных мероприятий с согласия).</w:t>
            </w:r>
            <w:r/>
          </w:p>
        </w:tc>
        <w:tc>
          <w:tcPr>
            <w:tcMar>
              <w:left w:w="240" w:type="dxa"/>
              <w:top w:w="150" w:type="dxa"/>
              <w:right w:w="0" w:type="dxa"/>
              <w:bottom w:w="150" w:type="dxa"/>
            </w:tcMar>
            <w:tcW w:w="3650" w:type="dxa"/>
            <w:vAlign w:val="center"/>
            <w:textDirection w:val="lrTb"/>
            <w:noWrap w:val="false"/>
          </w:tcPr>
          <w:p>
            <w:r>
              <w:t xml:space="preserve">• регистрация участников;</w:t>
            </w:r>
            <w:r>
              <w:br/>
              <w:t xml:space="preserve">• информирование о событиях;</w:t>
            </w:r>
            <w:r>
              <w:br/>
              <w:t xml:space="preserve">• размещение фотоотчётов на сайте и в соцсетях (с согласия);</w:t>
            </w:r>
            <w:r>
              <w:br/>
            </w:r>
            <w:r>
              <w:t xml:space="preserve">• организация и проведение рекламных акций.</w:t>
            </w:r>
            <w:r/>
          </w:p>
        </w:tc>
      </w:tr>
      <w:tr>
        <w:tblPrEx/>
        <w:trPr/>
        <w:tc>
          <w:tcPr>
            <w:tcMar>
              <w:left w:w="0" w:type="dxa"/>
              <w:top w:w="150" w:type="dxa"/>
              <w:right w:w="240" w:type="dxa"/>
              <w:bottom w:w="150" w:type="dxa"/>
            </w:tcMar>
            <w:tcW w:w="2562" w:type="dxa"/>
            <w:vAlign w:val="center"/>
            <w:textDirection w:val="lrTb"/>
            <w:noWrap w:val="false"/>
          </w:tcPr>
          <w:p>
            <w:pPr>
              <w:rPr>
                <w:b/>
                <w:bCs/>
              </w:rPr>
            </w:pPr>
            <w:r>
              <w:rPr>
                <w:b/>
                <w:bCs/>
              </w:rPr>
              <w:t xml:space="preserve">Лица, подписавшиеся на новости/акции</w:t>
            </w:r>
            <w:r>
              <w:rPr>
                <w:b/>
                <w:bCs/>
              </w:rPr>
            </w:r>
          </w:p>
        </w:tc>
        <w:tc>
          <w:tcPr>
            <w:tcMar>
              <w:left w:w="240" w:type="dxa"/>
              <w:top w:w="150" w:type="dxa"/>
              <w:right w:w="240" w:type="dxa"/>
              <w:bottom w:w="150" w:type="dxa"/>
            </w:tcMar>
            <w:tcW w:w="3387" w:type="dxa"/>
            <w:vAlign w:val="center"/>
            <w:textDirection w:val="lrTb"/>
            <w:noWrap w:val="false"/>
          </w:tcPr>
          <w:p>
            <w:r>
              <w:t xml:space="preserve">• адрес электронной почты;</w:t>
            </w:r>
            <w:r>
              <w:br/>
              <w:t xml:space="preserve">• номер телефона (для смс-рассылки).</w:t>
            </w:r>
            <w:r/>
          </w:p>
        </w:tc>
        <w:tc>
          <w:tcPr>
            <w:tcMar>
              <w:left w:w="240" w:type="dxa"/>
              <w:top w:w="150" w:type="dxa"/>
              <w:right w:w="0" w:type="dxa"/>
              <w:bottom w:w="150" w:type="dxa"/>
            </w:tcMar>
            <w:tcW w:w="3650" w:type="dxa"/>
            <w:vAlign w:val="center"/>
            <w:textDirection w:val="lrTb"/>
            <w:noWrap w:val="false"/>
          </w:tcPr>
          <w:p>
            <w:r>
              <w:t xml:space="preserve">• направление новостей о ТЦ, новых арендаторах, скидках и мероприятиях;</w:t>
            </w:r>
            <w:r>
              <w:br/>
              <w:t xml:space="preserve">• рекламные рассылки (с согласия).</w:t>
            </w:r>
            <w:r/>
          </w:p>
        </w:tc>
      </w:tr>
    </w:tbl>
    <w:p>
      <w:pPr>
        <w:jc w:val="both"/>
      </w:pPr>
      <w:r>
        <w:t xml:space="preserve">5.1. Персональные данные, разрешенные к обработке в рамках настоящей Политики, предоставляются Пользователем путем заполнения форм на Сайте, посредством телефонной связи, электронной почты или при личном обращении к Оператору.</w:t>
      </w:r>
      <w:r/>
    </w:p>
    <w:p>
      <w:pPr>
        <w:jc w:val="both"/>
      </w:pPr>
      <w:r>
        <w:t xml:space="preserve">5.2. Биометрические персональные данны</w:t>
      </w:r>
      <w:r>
        <w:t xml:space="preserve">е (сведения, которые характеризуют физиологические и биологические особенности человека, на основании которых можно установить его личность) Оператором не обрабатываются, за исключением случаев, прямо предусмотренных законодательством Российской Федерации.</w:t>
      </w:r>
      <w:r/>
    </w:p>
    <w:p>
      <w:pPr>
        <w:jc w:val="both"/>
      </w:pPr>
      <w:r/>
      <w:r/>
    </w:p>
    <w:p>
      <w:pPr>
        <w:jc w:val="both"/>
        <w:rPr>
          <w:b/>
          <w:bCs/>
        </w:rPr>
      </w:pPr>
      <w:r>
        <w:rPr>
          <w:b/>
          <w:bCs/>
        </w:rPr>
        <w:t xml:space="preserve">6. </w:t>
      </w:r>
      <w:r>
        <w:rPr>
          <w:b/>
          <w:bCs/>
        </w:rPr>
        <w:t xml:space="preserve">Файлы cookie и иные данные, собираемые автоматически</w:t>
      </w:r>
      <w:r>
        <w:rPr>
          <w:b/>
          <w:bCs/>
        </w:rPr>
      </w:r>
    </w:p>
    <w:p>
      <w:pPr>
        <w:jc w:val="both"/>
      </w:pPr>
      <w:r>
        <w:t xml:space="preserve">6.1. </w:t>
      </w:r>
      <w:r>
        <w:t xml:space="preserve">Оператор получает персональные данные посетителей Сайта как при заполнении ими различных форм на Сайте, так и в автоматическом режиме при его посещении (данные, указанные в п. 6.4 настоящей Политики).</w:t>
      </w:r>
      <w:r/>
    </w:p>
    <w:p>
      <w:pPr>
        <w:jc w:val="both"/>
      </w:pPr>
      <w:r>
        <w:t xml:space="preserve">6.2. Сайт применяет такие технологии, как cookie, которые позволяют облегчить использование Сайта посетителями и сделать его более удобным.</w:t>
      </w:r>
      <w:r/>
    </w:p>
    <w:p>
      <w:pPr>
        <w:jc w:val="both"/>
      </w:pPr>
      <w:r>
        <w:t xml:space="preserve">6.3. Обработка файлов cookie осуществляется в целях улучшения работы Сайта, совершенствования продуктов и услуг Оператора, а также определения предпочтений пользователей, в том числе с использованием метрических программ.</w:t>
      </w:r>
      <w:r/>
    </w:p>
    <w:p>
      <w:pPr>
        <w:jc w:val="both"/>
      </w:pPr>
      <w:r>
        <w:t xml:space="preserve">6.4. Cookie состоят из технических данных, которые автоматически передаются устройством, с помощью которого используется Сайт, а именно:</w:t>
      </w:r>
      <w:r/>
    </w:p>
    <w:p>
      <w:pPr>
        <w:numPr>
          <w:ilvl w:val="0"/>
          <w:numId w:val="22"/>
        </w:numPr>
        <w:jc w:val="both"/>
      </w:pPr>
      <w:r>
        <w:t xml:space="preserve">технические характеристики устройства;</w:t>
      </w:r>
      <w:r/>
    </w:p>
    <w:p>
      <w:pPr>
        <w:numPr>
          <w:ilvl w:val="0"/>
          <w:numId w:val="22"/>
        </w:numPr>
        <w:jc w:val="both"/>
      </w:pPr>
      <w:r>
        <w:t xml:space="preserve">IP-адрес;</w:t>
      </w:r>
      <w:r/>
    </w:p>
    <w:p>
      <w:pPr>
        <w:numPr>
          <w:ilvl w:val="0"/>
          <w:numId w:val="22"/>
        </w:numPr>
        <w:jc w:val="both"/>
      </w:pPr>
      <w:r>
        <w:t xml:space="preserve">информация, сохраненная в файлах cookie;</w:t>
      </w:r>
      <w:r/>
    </w:p>
    <w:p>
      <w:pPr>
        <w:numPr>
          <w:ilvl w:val="0"/>
          <w:numId w:val="22"/>
        </w:numPr>
        <w:jc w:val="both"/>
      </w:pPr>
      <w:r>
        <w:t xml:space="preserve">информация о браузере;</w:t>
      </w:r>
      <w:r/>
    </w:p>
    <w:p>
      <w:pPr>
        <w:numPr>
          <w:ilvl w:val="0"/>
          <w:numId w:val="22"/>
        </w:numPr>
        <w:jc w:val="both"/>
      </w:pPr>
      <w:r>
        <w:t xml:space="preserve">информация о дате и времени доступа к Сайту;</w:t>
      </w:r>
      <w:r/>
    </w:p>
    <w:p>
      <w:pPr>
        <w:numPr>
          <w:ilvl w:val="0"/>
          <w:numId w:val="22"/>
        </w:numPr>
        <w:jc w:val="both"/>
      </w:pPr>
      <w:r>
        <w:t xml:space="preserve">длительность пребывания на Сайте;</w:t>
      </w:r>
      <w:r/>
    </w:p>
    <w:p>
      <w:pPr>
        <w:numPr>
          <w:ilvl w:val="0"/>
          <w:numId w:val="22"/>
        </w:numPr>
        <w:jc w:val="both"/>
      </w:pPr>
      <w:r>
        <w:t xml:space="preserve">сведения о поведении и активности на Сайте.</w:t>
      </w:r>
      <w:r/>
    </w:p>
    <w:p>
      <w:pPr>
        <w:jc w:val="both"/>
      </w:pPr>
      <w:r>
        <w:t xml:space="preserve">6.5. Посетитель может просматривать большую часть Сайта, не принимая cookie, однако в случае деактивации cookie некоторые функции Сайта могут быть недоступны.</w:t>
      </w:r>
      <w:r/>
    </w:p>
    <w:p>
      <w:pPr>
        <w:jc w:val="both"/>
      </w:pPr>
      <w:r>
        <w:t xml:space="preserve">6.</w:t>
      </w:r>
      <w:r>
        <w:t xml:space="preserve">6. Если посетитель Сайта предпочитает не получать cookie при просмотре Сайта, то он может настроить свой браузер таким образом, чтобы он предупреждал его, прежде чем принять cookie, либо блокировать cookie, когда его браузер предупреждает о наличии cookie.</w:t>
      </w:r>
      <w:r/>
    </w:p>
    <w:p>
      <w:pPr>
        <w:jc w:val="both"/>
      </w:pPr>
      <w:r>
        <w:t xml:space="preserve">6.7. Посетитель Сайта также может отказаться от принятия всех cookie, отключив их в своем браузере.</w:t>
      </w:r>
      <w:r/>
    </w:p>
    <w:p>
      <w:pPr>
        <w:jc w:val="both"/>
        <w:rPr>
          <w:b/>
          <w:bCs/>
        </w:rPr>
      </w:pPr>
      <w:r>
        <w:rPr>
          <w:b/>
          <w:bCs/>
        </w:rPr>
        <w:t xml:space="preserve">7. Права субъектов персональных данных</w:t>
      </w:r>
      <w:r>
        <w:rPr>
          <w:b/>
          <w:bCs/>
        </w:rPr>
      </w:r>
    </w:p>
    <w:p>
      <w:pPr>
        <w:jc w:val="both"/>
      </w:pPr>
      <w:r>
        <w:t xml:space="preserve">7.1. В соответствии с положениями ФЗ «О персональных данных» субъект персональных данных имеет следующие права в отношении своих персональных данных:</w:t>
      </w:r>
      <w:r/>
    </w:p>
    <w:p>
      <w:pPr>
        <w:numPr>
          <w:ilvl w:val="0"/>
          <w:numId w:val="8"/>
        </w:numPr>
        <w:jc w:val="both"/>
      </w:pPr>
      <w:r>
        <w:t xml:space="preserve">право на получение сведений, касающихся обработки персональных данных Оператором (подтверждение факта обработки, правовые основания и цели обработки, применяемые спо</w:t>
      </w:r>
      <w:r>
        <w:t xml:space="preserve">собы обработки, наименование и место нахождения Оператора, обрабатываемые персональные данные, сроки обработки и хранения, порядок осуществления прав, информацию о трансграничной передаче, наименование лиц, осуществляющих обработку по поручению Оператора);</w:t>
      </w:r>
      <w:r/>
    </w:p>
    <w:p>
      <w:pPr>
        <w:numPr>
          <w:ilvl w:val="0"/>
          <w:numId w:val="8"/>
        </w:numPr>
        <w:jc w:val="both"/>
      </w:pPr>
      <w:r>
        <w:t xml:space="preserve">право на ознакомление с персональными данными, принадлежащими субъекту, обрабатываемыми Оператором;</w:t>
      </w:r>
      <w:r/>
    </w:p>
    <w:p>
      <w:pPr>
        <w:numPr>
          <w:ilvl w:val="0"/>
          <w:numId w:val="8"/>
        </w:numPr>
        <w:jc w:val="both"/>
      </w:pPr>
      <w:r>
        <w:t xml:space="preserve">право требова</w:t>
      </w:r>
      <w:r>
        <w:t xml:space="preserve">ния от Оператора уточнения персональных данных, их блокирования или уничтожения в случае, если персональные данные являются неполными, устаревшими (неактуальными), неточными, незаконно полученными или не являются необходимыми для заявленной цели обработки;</w:t>
      </w:r>
      <w:r/>
    </w:p>
    <w:p>
      <w:pPr>
        <w:numPr>
          <w:ilvl w:val="0"/>
          <w:numId w:val="8"/>
        </w:numPr>
        <w:jc w:val="both"/>
      </w:pPr>
      <w:r>
        <w:t xml:space="preserve">право на отзыв согласия на обработку персональных данных (если такое согласие было дано Оператору).</w:t>
      </w:r>
      <w:r/>
    </w:p>
    <w:p>
      <w:pPr>
        <w:jc w:val="both"/>
      </w:pPr>
      <w:r>
        <w:t xml:space="preserve">7.2. Если субъект персональных данных считает, что Оператор осуществляет обработку его персональных данных с нарушением требований ФЗ «О</w:t>
      </w:r>
      <w:r>
        <w:t xml:space="preserve">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(Роскомнадзор) или в судебном порядке.</w:t>
      </w:r>
      <w:r/>
    </w:p>
    <w:p>
      <w:pPr>
        <w:jc w:val="both"/>
        <w:rPr>
          <w:b/>
          <w:bCs/>
        </w:rPr>
      </w:pPr>
      <w:r>
        <w:rPr>
          <w:b/>
          <w:bCs/>
        </w:rPr>
        <w:t xml:space="preserve">8. Порядок осуществления прав субъектов персональных данных</w:t>
      </w:r>
      <w:r>
        <w:rPr>
          <w:b/>
          <w:bCs/>
        </w:rPr>
      </w:r>
    </w:p>
    <w:p>
      <w:pPr>
        <w:jc w:val="both"/>
      </w:pPr>
      <w:r>
        <w:t xml:space="preserve">8.1. Субъект персональных данных может реализовать свои права на получение сведений, касающихся обработки его персональных данных Оператором, путем обращения (лично или через законного представителя), либо путем направления письменного запроса по адресу:</w:t>
      </w:r>
      <w:r>
        <w:t xml:space="preserve"> </w:t>
      </w:r>
      <w:r>
        <w:t xml:space="preserve">443085, г. Самара, Южное шоссе, д. 5, либо путем направления запроса на адрес электронной почты:</w:t>
      </w:r>
      <w:r>
        <w:t xml:space="preserve"> </w:t>
      </w:r>
      <w:hyperlink r:id="rId9" w:tooltip="tel:info_letout@globalvsn.com" w:history="1">
        <w:r>
          <w:rPr>
            <w:rStyle w:val="699"/>
          </w:rPr>
          <w:t xml:space="preserve">info_letout@globalvsn.com</w:t>
        </w:r>
      </w:hyperlink>
      <w:r>
        <w:t xml:space="preserve">.</w:t>
      </w:r>
      <w:r/>
    </w:p>
    <w:p>
      <w:pPr>
        <w:jc w:val="both"/>
      </w:pPr>
      <w:r>
        <w:t xml:space="preserve">8.2. В соответствии с частью 3 статьи 14 ФЗ «О персональных данных» запрос субъекта персональных данных (или его представителя) должен содержать:</w:t>
      </w:r>
      <w:r/>
    </w:p>
    <w:p>
      <w:pPr>
        <w:numPr>
          <w:ilvl w:val="0"/>
          <w:numId w:val="9"/>
        </w:numPr>
        <w:jc w:val="both"/>
      </w:pPr>
      <w: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r/>
    </w:p>
    <w:p>
      <w:pPr>
        <w:numPr>
          <w:ilvl w:val="0"/>
          <w:numId w:val="9"/>
        </w:numPr>
        <w:jc w:val="both"/>
      </w:pPr>
      <w:r>
        <w:t xml:space="preserve">сведения, подтверждающие участие субъекта персональных данных в отношениях с Оператором (номер договора, дата заключения договора, иные сведения), либо сведения, иным образом подтверждающие факт обработки персональных данных Оператором;</w:t>
      </w:r>
      <w:r/>
    </w:p>
    <w:p>
      <w:pPr>
        <w:numPr>
          <w:ilvl w:val="0"/>
          <w:numId w:val="9"/>
        </w:numPr>
        <w:jc w:val="both"/>
      </w:pPr>
      <w:r>
        <w:t xml:space="preserve">подпись субъекта персональных данных или его представителя.</w:t>
      </w:r>
      <w:r/>
    </w:p>
    <w:p>
      <w:pPr>
        <w:jc w:val="both"/>
      </w:pPr>
      <w:r>
        <w:t xml:space="preserve">Рекомендуемая форма запроса субъекта персональных данных приведена в</w:t>
      </w:r>
      <w:r>
        <w:t xml:space="preserve"> </w:t>
      </w:r>
      <w:r>
        <w:rPr>
          <w:b/>
          <w:bCs/>
        </w:rPr>
        <w:t xml:space="preserve">Приложении Б</w:t>
      </w:r>
      <w:r>
        <w:rPr>
          <w:b/>
          <w:bCs/>
        </w:rPr>
        <w:t xml:space="preserve"> </w:t>
      </w:r>
      <w:r>
        <w:t xml:space="preserve">к настоящей Политике.</w:t>
      </w:r>
      <w:r/>
    </w:p>
    <w:p>
      <w:pPr>
        <w:jc w:val="both"/>
      </w:pPr>
      <w:r>
        <w:t xml:space="preserve">8.3. Оператор обязуется безвозмездно предоставить запрашиваемые сведения субъекту персональных данных или его представителю в </w:t>
      </w:r>
      <w:r>
        <w:t xml:space="preserve">доступной форме в течение десяти дней с даты получения запроса субъекта персональных данных либо дать в письменной форме мотивированный ответ, содержащий ссылку на положения федерального закона, являющиеся основанием для отказа в предоставлении информации.</w:t>
      </w:r>
      <w:r/>
    </w:p>
    <w:p>
      <w:pPr>
        <w:jc w:val="both"/>
      </w:pPr>
      <w:r>
        <w:t xml:space="preserve">Оператор вправе отказать субъекту персональных данных в выполнении запроса (повторного запроса) на предоставление информации, касающейся обработки его персональных данных, если такой запрос не соответствует требованиям, предусмотренным частями 3</w:t>
      </w:r>
      <w:r>
        <w:t xml:space="preserve">-</w:t>
      </w:r>
      <w:r>
        <w:t xml:space="preserve">5 статьи 14 Федерального закона № 152-ФЗ.</w:t>
      </w:r>
      <w:r/>
    </w:p>
    <w:p>
      <w:pPr>
        <w:jc w:val="both"/>
      </w:pPr>
      <w:r>
        <w:t xml:space="preserve">8.4. В срок, не превышающий семи рабочих дней </w:t>
      </w:r>
      <w:r>
        <w:t xml:space="preserve">со дня предоставления субъектом персональных данных или его представителем сведений, подтверждающих, что персональные данные, обрабатываемые Оператором, являются неполными, неточными или неактуальными, Оператор обязуется внести в них необходимые изменения.</w:t>
      </w:r>
      <w:r/>
    </w:p>
    <w:p>
      <w:pPr>
        <w:jc w:val="both"/>
      </w:pPr>
      <w:r>
        <w:t xml:space="preserve">8.5. В срок, не превышающий семи рабочих дней со дня представления субъектом персональных</w:t>
      </w:r>
      <w:r>
        <w:t xml:space="preserve"> данных или его представителем сведений, подтверждающих, что персональные данные, обрабатываемые Оператором, являются незаконно полученными или не являются необходимыми для заявленной цели обработки, Оператор обязуется уничтожить такие персональные данные.</w:t>
      </w:r>
      <w:r/>
    </w:p>
    <w:p>
      <w:pPr>
        <w:jc w:val="both"/>
      </w:pPr>
      <w:r>
        <w:t xml:space="preserve">8.6. Оператор обязан уведомить субъекта персональных данных или его представителя о внесенных изменениях и предпринятых мерах.</w:t>
      </w:r>
      <w:r/>
    </w:p>
    <w:p>
      <w:pPr>
        <w:jc w:val="both"/>
      </w:pPr>
      <w:r>
        <w:t xml:space="preserve">8.7. Субъект персональных данных имеет право на отзыв согласия на обработку персональных данных. Рекомендуемая форма заявления об отзыве согласия на обработку персональных данных приведена в</w:t>
      </w:r>
      <w:r>
        <w:t xml:space="preserve"> </w:t>
      </w:r>
      <w:r>
        <w:rPr>
          <w:b/>
          <w:bCs/>
        </w:rPr>
        <w:t xml:space="preserve">Приложении Б</w:t>
      </w:r>
      <w:r>
        <w:rPr>
          <w:b/>
          <w:bCs/>
        </w:rPr>
        <w:t xml:space="preserve"> </w:t>
      </w:r>
      <w:r>
        <w:t xml:space="preserve">к</w:t>
      </w:r>
      <w:r>
        <w:t xml:space="preserve"> настоящей Политике.</w:t>
      </w:r>
      <w:r/>
    </w:p>
    <w:p>
      <w:pPr>
        <w:jc w:val="both"/>
      </w:pPr>
      <w:r>
        <w:t xml:space="preserve">8.8. В случае отзыва субъектом персональных </w:t>
      </w:r>
      <w:r>
        <w:t xml:space="preserve">данных согласия на обработку его персональных данных Оператор обязан прекратить их обработку и уничтожить персональные данные в срок, не превышающий тридцати дней с даты поступления указанного отзыва, если иное не предусмотрено договором, стороной которого</w:t>
      </w:r>
      <w:r>
        <w:t xml:space="preserve">, выгодоприобретателем или поручителем по которому является субъект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r/>
    </w:p>
    <w:p>
      <w:pPr>
        <w:jc w:val="both"/>
      </w:pPr>
      <w:r>
        <w:t xml:space="preserve">8.9. В случае невозможности уничтожения персональных данных в течение указанного срока, Оператор осуществляет блокирование таких персональных данных и уничтожение в срок не более чем шесть месяцев, если иной срок не установлен федеральными законами.</w:t>
      </w:r>
      <w:r/>
    </w:p>
    <w:p>
      <w:pPr>
        <w:jc w:val="both"/>
      </w:pPr>
      <w:r/>
      <w:r/>
    </w:p>
    <w:p>
      <w:pPr>
        <w:jc w:val="both"/>
        <w:rPr>
          <w:b/>
          <w:bCs/>
        </w:rPr>
      </w:pPr>
      <w:r>
        <w:rPr>
          <w:b/>
          <w:bCs/>
        </w:rPr>
        <w:t xml:space="preserve">9. Конфиденциальность персональных данных</w:t>
      </w:r>
      <w:r>
        <w:rPr>
          <w:b/>
          <w:bCs/>
        </w:rPr>
      </w:r>
    </w:p>
    <w:p>
      <w:pPr>
        <w:jc w:val="both"/>
      </w:pPr>
      <w:r>
        <w:t xml:space="preserve">9.1. Оператор обеспечивает конфиденциальность обрабатываемых им персональных данных в порядке, предусмотренном законодательством Российской Федерации.</w:t>
      </w:r>
      <w:r/>
    </w:p>
    <w:p>
      <w:pPr>
        <w:jc w:val="both"/>
      </w:pPr>
      <w:r>
        <w:t xml:space="preserve">9.2. Обеспечение конфиденциальности не требуется в отношении:</w:t>
      </w:r>
      <w:r/>
    </w:p>
    <w:p>
      <w:pPr>
        <w:numPr>
          <w:ilvl w:val="0"/>
          <w:numId w:val="10"/>
        </w:numPr>
        <w:jc w:val="both"/>
      </w:pPr>
      <w:r>
        <w:t xml:space="preserve">персональных данных после их обезличивания;</w:t>
      </w:r>
      <w:r/>
    </w:p>
    <w:p>
      <w:pPr>
        <w:numPr>
          <w:ilvl w:val="0"/>
          <w:numId w:val="10"/>
        </w:numPr>
        <w:jc w:val="both"/>
      </w:pPr>
      <w:r>
        <w:t xml:space="preserve">персональных данных, доступ неограниченного круга лиц к которым предоставлен субъектом персональных данных либо по его просьбе (общедоступные персональные данные);</w:t>
      </w:r>
      <w:r/>
    </w:p>
    <w:p>
      <w:pPr>
        <w:numPr>
          <w:ilvl w:val="0"/>
          <w:numId w:val="10"/>
        </w:numPr>
        <w:jc w:val="both"/>
      </w:pPr>
      <w:r>
        <w:t xml:space="preserve">персональных данных, подлежащих опубликованию или обязательному раскрытию в соответствии с законодательством Российской Федерации.</w:t>
      </w:r>
      <w:r/>
    </w:p>
    <w:p>
      <w:pPr>
        <w:jc w:val="both"/>
      </w:pPr>
      <w:r>
        <w:t xml:space="preserve">9.3. Оператор обязуется и обязует иные лица, получившие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p>
    <w:p>
      <w:pPr>
        <w:jc w:val="both"/>
      </w:pPr>
      <w:r>
        <w:t xml:space="preserve">9.4. Лица, не являющиеся сотрудниками и представителями Оператора, доступ к персональным данным Пользователя не имеют, за исключением:</w:t>
      </w:r>
      <w:r/>
    </w:p>
    <w:p>
      <w:pPr>
        <w:numPr>
          <w:ilvl w:val="0"/>
          <w:numId w:val="11"/>
        </w:numPr>
        <w:jc w:val="both"/>
      </w:pPr>
      <w:r>
        <w:t xml:space="preserve">персональных данных, которые сделаны Пользователем общедоступными;</w:t>
      </w:r>
      <w:r/>
    </w:p>
    <w:p>
      <w:pPr>
        <w:numPr>
          <w:ilvl w:val="0"/>
          <w:numId w:val="11"/>
        </w:numPr>
        <w:jc w:val="both"/>
      </w:pPr>
      <w:r>
        <w:t xml:space="preserve">случаев, предусмотренных настоящей Политикой или законом;</w:t>
      </w:r>
      <w:r/>
    </w:p>
    <w:p>
      <w:pPr>
        <w:numPr>
          <w:ilvl w:val="0"/>
          <w:numId w:val="11"/>
        </w:numPr>
        <w:jc w:val="both"/>
      </w:pPr>
      <w:r>
        <w:t xml:space="preserve">лиц, которым поручена обработка персональных данных (</w:t>
      </w:r>
      <w:r>
        <w:t xml:space="preserve">Приложение А), на</w:t>
      </w:r>
      <w:r>
        <w:t xml:space="preserve"> основании договора с Оператором.</w:t>
      </w:r>
      <w:r/>
    </w:p>
    <w:p>
      <w:pPr>
        <w:jc w:val="both"/>
      </w:pPr>
      <w:r>
        <w:t xml:space="preserve">9.5. Оператор принима</w:t>
      </w:r>
      <w:r>
        <w:t xml:space="preserve">ет все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r/>
    </w:p>
    <w:p>
      <w:pPr>
        <w:jc w:val="both"/>
      </w:pPr>
      <w:r>
        <mc:AlternateContent>
          <mc:Choice Requires="wpg">
            <w:drawing>
              <wp:inline xmlns:wp="http://schemas.openxmlformats.org/drawingml/2006/wordprocessingDrawing" distT="0" distB="0" distL="0" distR="0">
                <wp:extent cx="0" cy="9525"/>
                <wp:effectExtent l="0" t="0" r="0" b="0"/>
                <wp:docPr id="1" name="_x0000_i1025"/>
                <wp:cNvGraphicFramePr/>
                <a:graphic xmlns:a="http://schemas.openxmlformats.org/drawingml/2006/main">
                  <a:graphicData uri="http://schemas.microsoft.com/office/word/2010/wordprocessingShape">
                    <wps:wsp>
                      <wps:cNvPr id="0" name=""/>
                      <wps:cNvSpPr/>
                      <wps:spPr bwMode="auto">
                        <a:xfrm>
                          <a:off x="0" y="0"/>
                          <a:ext cx="0" cy="9525"/>
                        </a:xfrm>
                        <a:prstGeom prst="rect">
                          <a:avLst/>
                        </a:prstGeom>
                        <a:solidFill>
                          <a:srgbClr val="A0A0A0"/>
                        </a:solidFill>
                        <a:ln>
                          <a:noFill/>
                        </a:ln>
                      </wps:spPr>
                      <wps:bodyPr rot="0">
                        <a:prstTxWarp prst="textNoShape">
                          <a:avLst/>
                        </a:prstTxWarp>
                        <a:noAutofit/>
                      </wps:bodyPr>
                    </wps:wsp>
                  </a:graphicData>
                </a:graphic>
              </wp:inline>
            </w:drawing>
          </mc:Choice>
          <mc:Fallback>
            <w:pict>
              <v:shape id="shape 0" o:spid="_x0000_s0" o:spt="1" type="#_x0000_t1" style="width:0.00pt;height:0.75pt;mso-wrap-distance-left:0.00pt;mso-wrap-distance-top:0.00pt;mso-wrap-distance-right:0.00pt;mso-wrap-distance-bottom:0.00pt;visibility:visible;" fillcolor="#A0A0A0" stroked="f"/>
            </w:pict>
          </mc:Fallback>
        </mc:AlternateContent>
      </w:r>
      <w:r/>
    </w:p>
    <w:p>
      <w:pPr>
        <w:jc w:val="both"/>
        <w:rPr>
          <w:b/>
          <w:bCs/>
        </w:rPr>
      </w:pPr>
      <w:r>
        <w:rPr>
          <w:b/>
          <w:bCs/>
        </w:rPr>
        <w:t xml:space="preserve">10. Пользовательское соглашение</w:t>
      </w:r>
      <w:r>
        <w:rPr>
          <w:b/>
          <w:bCs/>
        </w:rPr>
      </w:r>
    </w:p>
    <w:p>
      <w:pPr>
        <w:jc w:val="both"/>
      </w:pPr>
      <w:r>
        <w:t xml:space="preserve">10.1. </w:t>
      </w:r>
      <w:r>
        <w:rPr>
          <w:b/>
          <w:bCs/>
        </w:rPr>
        <w:t xml:space="preserve">Общие положения</w:t>
      </w:r>
      <w:r/>
    </w:p>
    <w:p>
      <w:pPr>
        <w:jc w:val="both"/>
      </w:pPr>
      <w:r>
        <w:t xml:space="preserve">10.1.1. Настоящее Пользовательское соглашение (далее — Соглашение) является неотъемлемой частью Политики и регулирует отношения между Оператором и Пользователем по использованию Сайта.</w:t>
      </w:r>
      <w:r/>
    </w:p>
    <w:p>
      <w:pPr>
        <w:jc w:val="both"/>
      </w:pPr>
      <w:r>
        <w:t xml:space="preserve">10.1.2. Использование Сайта Пользователем означает принятие настоящего Соглашения и всех его условий. В случае несогласия с условиями Соглашения Пользователь должен воздержаться от использования Сайта.</w:t>
      </w:r>
      <w:r/>
    </w:p>
    <w:p>
      <w:pPr>
        <w:jc w:val="both"/>
      </w:pPr>
      <w:r>
        <w:t xml:space="preserve">10.1.3. Настоящее Соглашение может быть изменено Оператором в любое время без какого-либо специального уведомления Пользователей. Новая редакция Соглашения вступает в силу с момента ее размещения на Сайте.</w:t>
      </w:r>
      <w:r/>
    </w:p>
    <w:p>
      <w:pPr>
        <w:jc w:val="both"/>
      </w:pPr>
      <w:r>
        <w:t xml:space="preserve">10.2. </w:t>
      </w:r>
      <w:r>
        <w:rPr>
          <w:b/>
          <w:bCs/>
        </w:rPr>
        <w:t xml:space="preserve">Предмет Соглашения</w:t>
      </w:r>
      <w:r/>
    </w:p>
    <w:p>
      <w:pPr>
        <w:jc w:val="both"/>
      </w:pPr>
      <w:r>
        <w:t xml:space="preserve">10.2.1. Предметом настоящего Соглашения является предоставление Пользователю доступа к содержащимся на Сайте сервисам и информации, включая:</w:t>
      </w:r>
      <w:r/>
    </w:p>
    <w:p>
      <w:pPr>
        <w:numPr>
          <w:ilvl w:val="0"/>
          <w:numId w:val="23"/>
        </w:numPr>
        <w:jc w:val="both"/>
      </w:pPr>
      <w:r>
        <w:t xml:space="preserve">доступ к информации о торговом центре (арендаторах, вакантных площадях, событиях);</w:t>
      </w:r>
      <w:r/>
    </w:p>
    <w:p>
      <w:pPr>
        <w:numPr>
          <w:ilvl w:val="0"/>
          <w:numId w:val="23"/>
        </w:numPr>
        <w:jc w:val="both"/>
      </w:pPr>
      <w:r>
        <w:t xml:space="preserve">доступ к форме обратной связи для запросов аренды;</w:t>
      </w:r>
      <w:r/>
    </w:p>
    <w:p>
      <w:pPr>
        <w:numPr>
          <w:ilvl w:val="0"/>
          <w:numId w:val="23"/>
        </w:numPr>
        <w:jc w:val="both"/>
      </w:pPr>
      <w:r>
        <w:t xml:space="preserve">доступ к календарю мероприятий;</w:t>
      </w:r>
      <w:r/>
    </w:p>
    <w:p>
      <w:pPr>
        <w:numPr>
          <w:ilvl w:val="0"/>
          <w:numId w:val="23"/>
        </w:numPr>
        <w:jc w:val="both"/>
      </w:pPr>
      <w:r>
        <w:t xml:space="preserve">возможность подписки на новости.</w:t>
      </w:r>
      <w:r/>
    </w:p>
    <w:p>
      <w:pPr>
        <w:jc w:val="both"/>
      </w:pPr>
      <w:r>
        <w:t xml:space="preserve">10.2.2. Под действие настоящего Соглашения подпадают все существующие на данный момент сервисы Сайта, а также любые их последующие модификации и появляющиеся в дальнейшем дополнительные сервисы.</w:t>
      </w:r>
      <w:r/>
    </w:p>
    <w:p>
      <w:pPr>
        <w:jc w:val="both"/>
      </w:pPr>
      <w:r>
        <w:t xml:space="preserve">10.3. </w:t>
      </w:r>
      <w:r>
        <w:rPr>
          <w:b/>
          <w:bCs/>
        </w:rPr>
        <w:t xml:space="preserve">Права и обязанности сторон</w:t>
      </w:r>
      <w:r/>
    </w:p>
    <w:p>
      <w:pPr>
        <w:jc w:val="both"/>
      </w:pPr>
      <w:r>
        <w:t xml:space="preserve">10.3.1. Оператор вправе:</w:t>
      </w:r>
      <w:r/>
    </w:p>
    <w:p>
      <w:pPr>
        <w:numPr>
          <w:ilvl w:val="0"/>
          <w:numId w:val="13"/>
        </w:numPr>
        <w:jc w:val="both"/>
      </w:pPr>
      <w:r>
        <w:t xml:space="preserve">изменять правила пользования Сайтом, а также изменять содержание Сайта. Изменения вступают в силу с момента публикации новой редакции Соглашения на Сайте;</w:t>
      </w:r>
      <w:r/>
    </w:p>
    <w:p>
      <w:pPr>
        <w:numPr>
          <w:ilvl w:val="0"/>
          <w:numId w:val="13"/>
        </w:numPr>
        <w:jc w:val="both"/>
      </w:pPr>
      <w:r>
        <w:t xml:space="preserve">использоват</w:t>
      </w:r>
      <w:r>
        <w:t xml:space="preserve">ь нотификаторы для информирования Пользователя об изменениях и новых событиях на Сайте, об изменении Соглашения, а также для рассылок информационного или рекламного характера (при наличии отдельного согласия Пользователя на получение рекламной информации);</w:t>
      </w:r>
      <w:r/>
    </w:p>
    <w:p>
      <w:pPr>
        <w:numPr>
          <w:ilvl w:val="0"/>
          <w:numId w:val="13"/>
        </w:numPr>
        <w:jc w:val="both"/>
      </w:pPr>
      <w:r>
        <w:t xml:space="preserve">ограничить доступ к Сайту в случае нарушения Пользователем условий настоящего Соглашения.</w:t>
      </w:r>
      <w:r/>
    </w:p>
    <w:p>
      <w:pPr>
        <w:jc w:val="both"/>
      </w:pPr>
      <w:r>
        <w:t xml:space="preserve">10.3.2. Пользователь вправе:</w:t>
      </w:r>
      <w:r/>
    </w:p>
    <w:p>
      <w:pPr>
        <w:numPr>
          <w:ilvl w:val="0"/>
          <w:numId w:val="14"/>
        </w:numPr>
        <w:jc w:val="both"/>
      </w:pPr>
      <w:r>
        <w:t xml:space="preserve">пользоваться всеми имеющимися на Сайте сервисами;</w:t>
      </w:r>
      <w:r/>
    </w:p>
    <w:p>
      <w:pPr>
        <w:numPr>
          <w:ilvl w:val="0"/>
          <w:numId w:val="14"/>
        </w:numPr>
        <w:jc w:val="both"/>
      </w:pPr>
      <w:r>
        <w:t xml:space="preserve">задавать вопросы, относящиеся к услугам Сайта, по телефону, электронной почте или через форму обратной связи;</w:t>
      </w:r>
      <w:r/>
    </w:p>
    <w:p>
      <w:pPr>
        <w:numPr>
          <w:ilvl w:val="0"/>
          <w:numId w:val="14"/>
        </w:numPr>
        <w:jc w:val="both"/>
      </w:pPr>
      <w:r>
        <w:t xml:space="preserve">использовать Сайт в целях и порядке, предусмотренных Соглашением и не запрещенных законодательством Российской Федерации;</w:t>
      </w:r>
      <w:r/>
    </w:p>
    <w:p>
      <w:pPr>
        <w:pStyle w:val="703"/>
        <w:numPr>
          <w:ilvl w:val="0"/>
          <w:numId w:val="14"/>
        </w:numPr>
        <w:spacing w:before="0" w:beforeAutospacing="0" w:after="0" w:afterAutospacing="0"/>
        <w:shd w:val="clear" w:color="auto" w:fill="ffffff"/>
        <w:rPr>
          <w:rFonts w:asciiTheme="minorHAnsi" w:hAnsiTheme="minorHAnsi" w:eastAsiaTheme="minorHAnsi" w:cstheme="minorBidi"/>
          <w:sz w:val="22"/>
          <w:szCs w:val="22"/>
          <w:lang w:eastAsia="en-US"/>
          <w14:ligatures w14:val="standardContextual"/>
        </w:rPr>
      </w:pPr>
      <w:r>
        <w:rPr>
          <w:rFonts w:asciiTheme="minorHAnsi" w:hAnsiTheme="minorHAnsi" w:eastAsiaTheme="minorHAnsi" w:cstheme="minorBidi"/>
          <w:sz w:val="22"/>
          <w:szCs w:val="22"/>
          <w:lang w:eastAsia="en-US"/>
          <w14:ligatures w14:val="standardContextual"/>
        </w:rPr>
        <w:t xml:space="preserve">направлять запросы на аренду;</w:t>
      </w:r>
      <w:r>
        <w:rPr>
          <w:rFonts w:asciiTheme="minorHAnsi" w:hAnsiTheme="minorHAnsi" w:eastAsiaTheme="minorHAnsi" w:cstheme="minorBidi"/>
          <w:sz w:val="22"/>
          <w:szCs w:val="22"/>
          <w:lang w:eastAsia="en-US"/>
          <w14:ligatures w14:val="standardContextual"/>
        </w:rPr>
      </w:r>
    </w:p>
    <w:p>
      <w:pPr>
        <w:pStyle w:val="703"/>
        <w:ind w:left="720"/>
        <w:spacing w:before="0" w:beforeAutospacing="0" w:after="0" w:afterAutospacing="0"/>
        <w:shd w:val="clear" w:color="auto" w:fill="ffffff"/>
        <w:rPr>
          <w:rFonts w:asciiTheme="minorHAnsi" w:hAnsiTheme="minorHAnsi" w:eastAsiaTheme="minorHAnsi" w:cstheme="minorBidi"/>
          <w:sz w:val="22"/>
          <w:szCs w:val="22"/>
          <w:lang w:eastAsia="en-US"/>
          <w14:ligatures w14:val="standardContextual"/>
        </w:rPr>
      </w:pPr>
      <w:r>
        <w:rPr>
          <w:rFonts w:asciiTheme="minorHAnsi" w:hAnsiTheme="minorHAnsi" w:eastAsiaTheme="minorHAnsi" w:cstheme="minorBidi"/>
          <w:sz w:val="22"/>
          <w:szCs w:val="22"/>
          <w:lang w:eastAsia="en-US"/>
          <w14:ligatures w14:val="standardContextual"/>
        </w:rPr>
      </w:r>
      <w:r>
        <w:rPr>
          <w:rFonts w:asciiTheme="minorHAnsi" w:hAnsiTheme="minorHAnsi" w:eastAsiaTheme="minorHAnsi" w:cstheme="minorBidi"/>
          <w:sz w:val="22"/>
          <w:szCs w:val="22"/>
          <w:lang w:eastAsia="en-US"/>
          <w14:ligatures w14:val="standardContextual"/>
        </w:rPr>
      </w:r>
    </w:p>
    <w:p>
      <w:pPr>
        <w:jc w:val="both"/>
      </w:pPr>
      <w:r>
        <w:t xml:space="preserve">10.3.3. Пользователь обязуется:</w:t>
      </w:r>
      <w:r/>
    </w:p>
    <w:p>
      <w:pPr>
        <w:numPr>
          <w:ilvl w:val="0"/>
          <w:numId w:val="15"/>
        </w:numPr>
        <w:jc w:val="both"/>
      </w:pPr>
      <w:r>
        <w:t xml:space="preserve">не предпринимать действий, которые могут рассматриваться как нарушающие нормальную работу Сайта;</w:t>
      </w:r>
      <w:r/>
    </w:p>
    <w:p>
      <w:pPr>
        <w:numPr>
          <w:ilvl w:val="0"/>
          <w:numId w:val="15"/>
        </w:numPr>
        <w:jc w:val="both"/>
      </w:pPr>
      <w:r>
        <w:t xml:space="preserve">не распространять с использованием Сайта любую конфиденциальную и охраняемую законодательством информацию;</w:t>
      </w:r>
      <w:r/>
    </w:p>
    <w:p>
      <w:pPr>
        <w:numPr>
          <w:ilvl w:val="0"/>
          <w:numId w:val="15"/>
        </w:numPr>
        <w:jc w:val="both"/>
      </w:pPr>
      <w:r>
        <w:t xml:space="preserve">не использовать Сайт для распространения информации рекламного характера без согласия Оператора;</w:t>
      </w:r>
      <w:r/>
    </w:p>
    <w:p>
      <w:pPr>
        <w:numPr>
          <w:ilvl w:val="0"/>
          <w:numId w:val="15"/>
        </w:numPr>
        <w:jc w:val="both"/>
      </w:pPr>
      <w:r>
        <w:t xml:space="preserve">не использовать любые устройства, программы, процедуры, алгоритмы и методы для автоматического доступа, копирования или отслеживания содержания Сайта;</w:t>
      </w:r>
      <w:r/>
    </w:p>
    <w:p>
      <w:pPr>
        <w:numPr>
          <w:ilvl w:val="0"/>
          <w:numId w:val="15"/>
        </w:numPr>
        <w:jc w:val="both"/>
      </w:pPr>
      <w:r>
        <w:t xml:space="preserve">не нарушать надлежащее функционирование Сайта;</w:t>
      </w:r>
      <w:r/>
    </w:p>
    <w:p>
      <w:pPr>
        <w:numPr>
          <w:ilvl w:val="0"/>
          <w:numId w:val="15"/>
        </w:numPr>
        <w:jc w:val="both"/>
      </w:pPr>
      <w:r>
        <w:t xml:space="preserve">не осуществлять несанкционированный доступ к функциям Сайта, любым другим системам или сетям, относящимся к данному Сайту;</w:t>
      </w:r>
      <w:r/>
    </w:p>
    <w:p>
      <w:pPr>
        <w:numPr>
          <w:ilvl w:val="0"/>
          <w:numId w:val="15"/>
        </w:numPr>
        <w:jc w:val="both"/>
      </w:pPr>
      <w:r>
        <w:t xml:space="preserve">не выполнять обратный поиск или отслеживать информацию о других Пользователях Сайта.</w:t>
      </w:r>
      <w:r/>
    </w:p>
    <w:p>
      <w:pPr>
        <w:jc w:val="both"/>
      </w:pPr>
      <w:r>
        <w:t xml:space="preserve">10.4.</w:t>
      </w:r>
      <w:r>
        <w:t xml:space="preserve"> </w:t>
      </w:r>
      <w:r>
        <w:rPr>
          <w:b/>
          <w:bCs/>
        </w:rPr>
        <w:t xml:space="preserve">Интеллектуальная собственность</w:t>
      </w:r>
      <w:r/>
    </w:p>
    <w:p>
      <w:pPr>
        <w:jc w:val="both"/>
      </w:pPr>
      <w:r>
        <w:t xml:space="preserve">10.4.1. Все объекты, размещенные на Сайте (дизайн, тексты, фотографии, видео, графические изображения, логотипы, базы данных), являются результатами интеллектуальной деятельности и охраняются законодательством Российской Федерации.</w:t>
      </w:r>
      <w:r/>
    </w:p>
    <w:p>
      <w:pPr>
        <w:jc w:val="both"/>
      </w:pPr>
      <w:r>
        <w:t xml:space="preserve">10.4.2. Любое использование материалов Сайта (копирование, распространение, воспроизведение, передача третьим лицам) без письменного разрешения Оператора запрещено, за исключением случаев, прямо предусмотренных законодательством.</w:t>
      </w:r>
      <w:r/>
    </w:p>
    <w:p>
      <w:pPr>
        <w:jc w:val="both"/>
      </w:pPr>
      <w:r>
        <w:t xml:space="preserve">10.4.3. Пользователь вправе копировать информацию с Сайта для личного некоммерческого использования с обязательным указанием источника заимствования.</w:t>
      </w:r>
      <w:r/>
    </w:p>
    <w:p>
      <w:pPr>
        <w:jc w:val="both"/>
      </w:pPr>
      <w:r>
        <w:t xml:space="preserve">10.5.</w:t>
      </w:r>
      <w:r>
        <w:t xml:space="preserve"> </w:t>
      </w:r>
      <w:r>
        <w:rPr>
          <w:b/>
          <w:bCs/>
        </w:rPr>
        <w:t xml:space="preserve">Ответственность</w:t>
      </w:r>
      <w:r/>
    </w:p>
    <w:p>
      <w:pPr>
        <w:jc w:val="both"/>
      </w:pPr>
      <w:r>
        <w:t xml:space="preserve">10.5.1. Оператор не несет ответственности за любые убытки, которые Пользователь может понести в случае умышленного или неосторожного нарушения любого положения настоящего Соглашения.</w:t>
      </w:r>
      <w:r/>
    </w:p>
    <w:p>
      <w:pPr>
        <w:jc w:val="both"/>
      </w:pPr>
      <w:r>
        <w:t xml:space="preserve">10.5.2. Оператор не несет ответственности за задержки или сбои в процессе совершения операции, возникшие вследствие непреодолимой силы, а также любого случая неполадок в телекоммуникационных, компьютерных, электрических и иных смежных системах.</w:t>
      </w:r>
      <w:r/>
    </w:p>
    <w:p>
      <w:pPr>
        <w:jc w:val="both"/>
      </w:pPr>
      <w:r>
        <w:t xml:space="preserve">10.5.3. Оператор имеет право раскрыть информацию о Пользователе, если действующее законодательство Российской Федерации требует или разрешает такое раскрытие.</w:t>
      </w:r>
      <w:r/>
    </w:p>
    <w:p>
      <w:pPr>
        <w:jc w:val="both"/>
      </w:pPr>
      <w:r>
        <w:t xml:space="preserve">10.5.4. Оператор вправе без предварительного уведомления Пользователя прекратить и (или) заблокировать доступ к Сайту, если Пользователь нарушил настоящее Соглашение, а также в случае прекращения действия Сайта либо по причине технической неполадки.</w:t>
      </w:r>
      <w:r/>
    </w:p>
    <w:p>
      <w:pPr>
        <w:jc w:val="both"/>
      </w:pPr>
      <w:r>
        <w:t xml:space="preserve">10.6. </w:t>
      </w:r>
      <w:r>
        <w:rPr>
          <w:b/>
          <w:bCs/>
        </w:rPr>
        <w:t xml:space="preserve">Разрешение споров</w:t>
      </w:r>
      <w:r/>
    </w:p>
    <w:p>
      <w:pPr>
        <w:jc w:val="both"/>
      </w:pPr>
      <w:r>
        <w:t xml:space="preserve">10.6.1. В случае возникновения любых разногласий или споров между Сторонами обязательным условием до обращения в суд является предъявление претензии (письменного предложения о добровольном урегулировании спора).</w:t>
      </w:r>
      <w:r/>
    </w:p>
    <w:p>
      <w:pPr>
        <w:jc w:val="both"/>
      </w:pPr>
      <w:r>
        <w:t xml:space="preserve">10.6.2. Получатель претензии в течение 30 календарных дней со дня ее получения письменно уведомляет заявителя претензии о результатах рассмотрения претензии.</w:t>
      </w:r>
      <w:r/>
    </w:p>
    <w:p>
      <w:pPr>
        <w:jc w:val="both"/>
      </w:pPr>
      <w:r>
        <w:t xml:space="preserve">10.6.3. При невозможности разрешить спор в добровольном порядке любая из Сторон вправе обратиться в суд в соответствии с действующим законодательством Российской Федерации.</w:t>
      </w:r>
      <w:r/>
    </w:p>
    <w:p>
      <w:pPr>
        <w:jc w:val="both"/>
        <w:rPr>
          <w:b/>
          <w:bCs/>
        </w:rPr>
      </w:pPr>
      <w:r>
        <w:rPr>
          <w:b/>
          <w:bCs/>
        </w:rPr>
        <w:t xml:space="preserve">11. Заключительные положения</w:t>
      </w:r>
      <w:r>
        <w:rPr>
          <w:b/>
          <w:bCs/>
        </w:rPr>
      </w:r>
    </w:p>
    <w:p>
      <w:pPr>
        <w:jc w:val="both"/>
      </w:pPr>
      <w:r>
        <w:t xml:space="preserve">11.1. Настоящая Политика является общедоступным документом и подлежит изменению и дополнению Оператором в одностороннем порядке без предварительного уведомления Пользователей. </w:t>
      </w:r>
      <w:r>
        <w:t xml:space="preserve">Актуальная редакция Политики всегда доступна на Сайте по адресу:</w:t>
      </w:r>
      <w:r>
        <w:t xml:space="preserve"> </w:t>
      </w:r>
      <w:hyperlink r:id="rId10" w:tooltip="https://letoutmall.ru/" w:history="1">
        <w:r>
          <w:rPr>
            <w:rStyle w:val="699"/>
          </w:rPr>
          <w:t xml:space="preserve">https://letoutmall.ru/</w:t>
        </w:r>
      </w:hyperlink>
      <w:r>
        <w:t xml:space="preserve">.</w:t>
      </w:r>
      <w:r/>
    </w:p>
    <w:p>
      <w:pPr>
        <w:jc w:val="both"/>
      </w:pPr>
      <w:r>
        <w:t xml:space="preserve">11.2. Все предложения, вопросы и заявления по поводу настоящей Политики Пользователи вправе направлять по адресу электронной почты:</w:t>
      </w:r>
      <w:r>
        <w:t xml:space="preserve"> </w:t>
      </w:r>
      <w:hyperlink r:id="rId11" w:tooltip="tel:info_letout@globalvsn.com" w:history="1">
        <w:r>
          <w:rPr>
            <w:rStyle w:val="699"/>
          </w:rPr>
          <w:t xml:space="preserve">info_letout@globalvsn.com</w:t>
        </w:r>
      </w:hyperlink>
      <w:r>
        <w:rPr>
          <w:b/>
          <w:bCs/>
        </w:rPr>
        <w:t xml:space="preserve"> </w:t>
      </w:r>
      <w:r>
        <w:t xml:space="preserve">или по почтовому адресу:</w:t>
      </w:r>
      <w:r>
        <w:t xml:space="preserve"> </w:t>
      </w:r>
      <w:r>
        <w:rPr>
          <w:b/>
          <w:bCs/>
        </w:rPr>
        <w:t xml:space="preserve">443085, г. Самара, Южное шоссе, д. 5</w:t>
      </w:r>
      <w:r>
        <w:t xml:space="preserve">.</w:t>
      </w:r>
      <w:r/>
    </w:p>
    <w:p>
      <w:pPr>
        <w:jc w:val="both"/>
      </w:pPr>
      <w:r>
        <w:t xml:space="preserve">11.3. Настоящая Политика вступает в силу с момента ее размещения на Сайте.</w:t>
      </w:r>
      <w:r/>
    </w:p>
    <w:p>
      <w:r>
        <w:br w:type="page" w:clear="all"/>
      </w:r>
      <w:r/>
    </w:p>
    <w:p>
      <w:pPr>
        <w:jc w:val="both"/>
      </w:pPr>
      <w:r/>
      <w:r/>
    </w:p>
    <w:p>
      <w:pPr>
        <w:jc w:val="center"/>
        <w:rPr>
          <w:b/>
          <w:bCs/>
        </w:rPr>
      </w:pPr>
      <w:r>
        <w:rPr>
          <w:b/>
          <w:bCs/>
        </w:rPr>
        <w:t xml:space="preserve">Приложение А. </w:t>
      </w:r>
      <w:r>
        <w:rPr>
          <w:b/>
          <w:bCs/>
        </w:rPr>
      </w:r>
    </w:p>
    <w:p>
      <w:pPr>
        <w:jc w:val="center"/>
        <w:rPr>
          <w:b/>
          <w:bCs/>
        </w:rPr>
      </w:pPr>
      <w:r>
        <w:rPr>
          <w:b/>
          <w:bCs/>
        </w:rPr>
        <w:t xml:space="preserve">Перечень лиц, которым поручена обработка персональных данных</w:t>
      </w:r>
      <w:r>
        <w:rPr>
          <w:b/>
          <w:bCs/>
        </w:rPr>
      </w:r>
    </w:p>
    <w:p>
      <w:pPr>
        <w:jc w:val="both"/>
      </w:pPr>
      <w:r/>
      <w:r/>
    </w:p>
    <w:tbl>
      <w:tblPr>
        <w:tblW w:w="10541"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left w:w="15" w:type="dxa"/>
          <w:top w:w="15" w:type="dxa"/>
          <w:right w:w="15" w:type="dxa"/>
          <w:bottom w:w="15" w:type="dxa"/>
        </w:tblCellMar>
        <w:tblLook w:val="04A0" w:firstRow="1" w:lastRow="0" w:firstColumn="1" w:lastColumn="0" w:noHBand="0" w:noVBand="1"/>
      </w:tblPr>
      <w:tblGrid>
        <w:gridCol w:w="466"/>
        <w:gridCol w:w="3169"/>
        <w:gridCol w:w="1596"/>
        <w:gridCol w:w="1930"/>
        <w:gridCol w:w="3380"/>
      </w:tblGrid>
      <w:tr>
        <w:tblPrEx/>
        <w:trPr>
          <w:tblHeader/>
        </w:trPr>
        <w:tc>
          <w:tcPr>
            <w:shd w:val="clear" w:color="auto" w:fill="ffffff"/>
            <w:tcMar>
              <w:left w:w="0" w:type="dxa"/>
              <w:top w:w="150" w:type="dxa"/>
              <w:right w:w="240" w:type="dxa"/>
              <w:bottom w:w="150" w:type="dxa"/>
            </w:tcMar>
            <w:tcW w:w="0" w:type="auto"/>
            <w:vAlign w:val="center"/>
            <w:textDirection w:val="lrTb"/>
            <w:noWrap w:val="false"/>
          </w:tcPr>
          <w:p>
            <w:pPr>
              <w:jc w:val="both"/>
            </w:pPr>
            <w:r>
              <w:t xml:space="preserve">№</w:t>
            </w:r>
            <w:r/>
          </w:p>
        </w:tc>
        <w:tc>
          <w:tcPr>
            <w:shd w:val="clear" w:color="auto" w:fill="ffffff"/>
            <w:tcMar>
              <w:left w:w="240" w:type="dxa"/>
              <w:top w:w="150" w:type="dxa"/>
              <w:right w:w="240" w:type="dxa"/>
              <w:bottom w:w="150" w:type="dxa"/>
            </w:tcMar>
            <w:tcW w:w="3169" w:type="dxa"/>
            <w:vAlign w:val="center"/>
            <w:textDirection w:val="lrTb"/>
            <w:noWrap w:val="false"/>
          </w:tcPr>
          <w:p>
            <w:pPr>
              <w:jc w:val="both"/>
            </w:pPr>
            <w:r>
              <w:t xml:space="preserve">Наименование лица</w:t>
            </w:r>
            <w:r/>
          </w:p>
        </w:tc>
        <w:tc>
          <w:tcPr>
            <w:shd w:val="clear" w:color="auto" w:fill="ffffff"/>
            <w:tcMar>
              <w:left w:w="240" w:type="dxa"/>
              <w:top w:w="150" w:type="dxa"/>
              <w:right w:w="240" w:type="dxa"/>
              <w:bottom w:w="150" w:type="dxa"/>
            </w:tcMar>
            <w:tcW w:w="0" w:type="auto"/>
            <w:vAlign w:val="center"/>
            <w:textDirection w:val="lrTb"/>
            <w:noWrap w:val="false"/>
          </w:tcPr>
          <w:p>
            <w:pPr>
              <w:jc w:val="both"/>
            </w:pPr>
            <w:r>
              <w:t xml:space="preserve">ИНН</w:t>
            </w:r>
            <w:r/>
          </w:p>
        </w:tc>
        <w:tc>
          <w:tcPr>
            <w:shd w:val="clear" w:color="auto" w:fill="ffffff"/>
            <w:tcMar>
              <w:left w:w="240" w:type="dxa"/>
              <w:top w:w="150" w:type="dxa"/>
              <w:right w:w="240" w:type="dxa"/>
              <w:bottom w:w="150" w:type="dxa"/>
            </w:tcMar>
            <w:tcW w:w="0" w:type="auto"/>
            <w:vAlign w:val="center"/>
            <w:textDirection w:val="lrTb"/>
            <w:noWrap w:val="false"/>
          </w:tcPr>
          <w:p>
            <w:pPr>
              <w:jc w:val="both"/>
            </w:pPr>
            <w:r>
              <w:t xml:space="preserve">ОГРН</w:t>
            </w:r>
            <w:r/>
          </w:p>
        </w:tc>
        <w:tc>
          <w:tcPr>
            <w:shd w:val="clear" w:color="auto" w:fill="ffffff"/>
            <w:tcMar>
              <w:left w:w="240" w:type="dxa"/>
              <w:top w:w="150" w:type="dxa"/>
              <w:right w:w="240" w:type="dxa"/>
              <w:bottom w:w="150" w:type="dxa"/>
            </w:tcMar>
            <w:tcW w:w="0" w:type="auto"/>
            <w:vAlign w:val="center"/>
            <w:textDirection w:val="lrTb"/>
            <w:noWrap w:val="false"/>
          </w:tcPr>
          <w:p>
            <w:pPr>
              <w:jc w:val="both"/>
            </w:pPr>
            <w:r>
              <w:t xml:space="preserve">Адрес места нахождения</w:t>
            </w:r>
            <w:r/>
          </w:p>
        </w:tc>
      </w:tr>
      <w:tr>
        <w:tblPrEx/>
        <w:trPr/>
        <w:tc>
          <w:tcPr>
            <w:shd w:val="clear" w:color="auto" w:fill="ffffff"/>
            <w:tcMar>
              <w:left w:w="0" w:type="dxa"/>
              <w:top w:w="150" w:type="dxa"/>
              <w:right w:w="240" w:type="dxa"/>
              <w:bottom w:w="150" w:type="dxa"/>
            </w:tcMar>
            <w:tcW w:w="0" w:type="auto"/>
            <w:vAlign w:val="center"/>
            <w:textDirection w:val="lrTb"/>
            <w:noWrap w:val="false"/>
          </w:tcPr>
          <w:p>
            <w:pPr>
              <w:jc w:val="both"/>
            </w:pPr>
            <w:r>
              <w:t xml:space="preserve">1</w:t>
            </w:r>
            <w:r/>
          </w:p>
        </w:tc>
        <w:tc>
          <w:tcPr>
            <w:shd w:val="clear" w:color="auto" w:fill="ffffff"/>
            <w:tcMar>
              <w:left w:w="240" w:type="dxa"/>
              <w:top w:w="150" w:type="dxa"/>
              <w:right w:w="240" w:type="dxa"/>
              <w:bottom w:w="150" w:type="dxa"/>
            </w:tcMar>
            <w:tcW w:w="3169" w:type="dxa"/>
            <w:vAlign w:val="center"/>
            <w:textDirection w:val="lrTb"/>
            <w:noWrap w:val="false"/>
          </w:tcPr>
          <w:p>
            <w:pPr>
              <w:jc w:val="both"/>
            </w:pPr>
            <w:r>
              <w:t xml:space="preserve">Общество с ограниченной ответственностью «Глобал Вижн Холдинг»</w:t>
            </w:r>
            <w:r/>
          </w:p>
        </w:tc>
        <w:tc>
          <w:tcPr>
            <w:shd w:val="clear" w:color="auto" w:fill="ffffff"/>
            <w:tcMar>
              <w:left w:w="240" w:type="dxa"/>
              <w:top w:w="150" w:type="dxa"/>
              <w:right w:w="240" w:type="dxa"/>
              <w:bottom w:w="150" w:type="dxa"/>
            </w:tcMar>
            <w:tcW w:w="0" w:type="auto"/>
            <w:vAlign w:val="center"/>
            <w:textDirection w:val="lrTb"/>
            <w:noWrap w:val="false"/>
          </w:tcPr>
          <w:p>
            <w:pPr>
              <w:jc w:val="both"/>
            </w:pPr>
            <w:r>
              <w:t xml:space="preserve">6312138654</w:t>
            </w:r>
            <w:r/>
          </w:p>
        </w:tc>
        <w:tc>
          <w:tcPr>
            <w:shd w:val="clear" w:color="auto" w:fill="ffffff"/>
            <w:tcMar>
              <w:left w:w="240" w:type="dxa"/>
              <w:top w:w="150" w:type="dxa"/>
              <w:right w:w="240" w:type="dxa"/>
              <w:bottom w:w="150" w:type="dxa"/>
            </w:tcMar>
            <w:tcW w:w="0" w:type="auto"/>
            <w:vAlign w:val="center"/>
            <w:textDirection w:val="lrTb"/>
            <w:noWrap w:val="false"/>
          </w:tcPr>
          <w:p>
            <w:pPr>
              <w:jc w:val="both"/>
            </w:pPr>
            <w:r>
              <w:t xml:space="preserve">1146312003980</w:t>
            </w:r>
            <w:r/>
          </w:p>
        </w:tc>
        <w:tc>
          <w:tcPr>
            <w:shd w:val="clear" w:color="auto" w:fill="ffffff"/>
            <w:tcMar>
              <w:left w:w="240" w:type="dxa"/>
              <w:top w:w="150" w:type="dxa"/>
              <w:right w:w="0" w:type="dxa"/>
              <w:bottom w:w="150" w:type="dxa"/>
            </w:tcMar>
            <w:tcW w:w="0" w:type="auto"/>
            <w:vAlign w:val="center"/>
            <w:textDirection w:val="lrTb"/>
            <w:noWrap w:val="false"/>
          </w:tcPr>
          <w:p>
            <w:pPr>
              <w:jc w:val="both"/>
            </w:pPr>
            <w:r>
              <w:t xml:space="preserve">443011, г. Самара, ул. Ново-Садовая, д. 160Д, стр. 1</w:t>
            </w:r>
            <w:r/>
          </w:p>
        </w:tc>
      </w:tr>
      <w:tr>
        <w:tblPrEx/>
        <w:trPr/>
        <w:tc>
          <w:tcPr>
            <w:tcMar>
              <w:left w:w="0" w:type="dxa"/>
              <w:top w:w="150" w:type="dxa"/>
              <w:right w:w="240" w:type="dxa"/>
              <w:bottom w:w="150" w:type="dxa"/>
            </w:tcMar>
            <w:tcW w:w="0" w:type="auto"/>
            <w:vAlign w:val="center"/>
            <w:textDirection w:val="lrTb"/>
            <w:noWrap w:val="false"/>
          </w:tcPr>
          <w:p>
            <w:pPr>
              <w:jc w:val="both"/>
            </w:pPr>
            <w:r>
              <w:t xml:space="preserve">2</w:t>
            </w:r>
            <w:r/>
          </w:p>
        </w:tc>
        <w:tc>
          <w:tcPr>
            <w:tcMar>
              <w:left w:w="240" w:type="dxa"/>
              <w:top w:w="150" w:type="dxa"/>
              <w:right w:w="240" w:type="dxa"/>
              <w:bottom w:w="150" w:type="dxa"/>
            </w:tcMar>
            <w:tcW w:w="3169" w:type="dxa"/>
            <w:vAlign w:val="center"/>
            <w:textDirection w:val="lrTb"/>
            <w:noWrap w:val="false"/>
          </w:tcPr>
          <w:p>
            <w:pPr>
              <w:jc w:val="both"/>
            </w:pPr>
            <w:r>
              <w:t xml:space="preserve">ООО «Глобал Вижн Девелопмент» (по вашему указанию)</w:t>
            </w:r>
            <w:r/>
          </w:p>
        </w:tc>
        <w:tc>
          <w:tcPr>
            <w:tcMar>
              <w:left w:w="240" w:type="dxa"/>
              <w:top w:w="150" w:type="dxa"/>
              <w:right w:w="240" w:type="dxa"/>
              <w:bottom w:w="150" w:type="dxa"/>
            </w:tcMar>
            <w:tcW w:w="0" w:type="auto"/>
            <w:vAlign w:val="center"/>
            <w:textDirection w:val="lrTb"/>
            <w:noWrap w:val="false"/>
          </w:tcPr>
          <w:p>
            <w:pPr>
              <w:jc w:val="both"/>
            </w:pPr>
            <w:r>
              <w:t xml:space="preserve">6314040421</w:t>
            </w:r>
            <w:r/>
          </w:p>
        </w:tc>
        <w:tc>
          <w:tcPr>
            <w:tcMar>
              <w:left w:w="240" w:type="dxa"/>
              <w:top w:w="150" w:type="dxa"/>
              <w:right w:w="240" w:type="dxa"/>
              <w:bottom w:w="150" w:type="dxa"/>
            </w:tcMar>
            <w:tcW w:w="0" w:type="auto"/>
            <w:vAlign w:val="center"/>
            <w:textDirection w:val="lrTb"/>
            <w:noWrap w:val="false"/>
          </w:tcPr>
          <w:p>
            <w:pPr>
              <w:jc w:val="both"/>
            </w:pPr>
            <w:r>
              <w:t xml:space="preserve">1156313030917</w:t>
            </w:r>
            <w:r/>
          </w:p>
        </w:tc>
        <w:tc>
          <w:tcPr>
            <w:tcMar>
              <w:left w:w="240" w:type="dxa"/>
              <w:top w:w="150" w:type="dxa"/>
              <w:right w:w="0" w:type="dxa"/>
              <w:bottom w:w="150" w:type="dxa"/>
            </w:tcMar>
            <w:tcW w:w="0" w:type="auto"/>
            <w:vAlign w:val="center"/>
            <w:textDirection w:val="lrTb"/>
            <w:noWrap w:val="false"/>
          </w:tcPr>
          <w:p>
            <w:pPr>
              <w:jc w:val="both"/>
            </w:pPr>
            <w:r>
              <w:t xml:space="preserve">443085, г. Самара, Южное шоссе</w:t>
            </w:r>
            <w:r>
              <w:t xml:space="preserve">, д. 5</w:t>
            </w:r>
            <w:r/>
          </w:p>
        </w:tc>
      </w:tr>
    </w:tbl>
    <w:p>
      <w:pPr>
        <w:jc w:val="both"/>
      </w:pPr>
      <w:r/>
      <w:r/>
    </w:p>
    <w:p>
      <w:r>
        <w:br w:type="page" w:clear="all"/>
      </w:r>
      <w:r/>
    </w:p>
    <w:p>
      <w:pPr>
        <w:jc w:val="both"/>
      </w:pPr>
      <w:r/>
      <w:r/>
    </w:p>
    <w:p>
      <w:pPr>
        <w:jc w:val="center"/>
        <w:rPr>
          <w:b/>
          <w:bCs/>
        </w:rPr>
      </w:pPr>
      <w:r>
        <w:rPr>
          <w:b/>
          <w:bCs/>
        </w:rPr>
        <w:t xml:space="preserve">Приложение Б.</w:t>
      </w:r>
      <w:r>
        <w:rPr>
          <w:b/>
          <w:bCs/>
        </w:rPr>
      </w:r>
    </w:p>
    <w:p>
      <w:pPr>
        <w:jc w:val="center"/>
        <w:rPr>
          <w:b/>
          <w:bCs/>
        </w:rPr>
      </w:pPr>
      <w:r>
        <w:rPr>
          <w:b/>
          <w:bCs/>
        </w:rPr>
        <w:t xml:space="preserve">Шаблоны запросов субъекта персональных данных</w:t>
      </w:r>
      <w:r>
        <w:rPr>
          <w:b/>
          <w:bCs/>
        </w:rPr>
      </w:r>
    </w:p>
    <w:p>
      <w:pPr>
        <w:jc w:val="center"/>
      </w:pPr>
      <w:r>
        <w:rPr>
          <w:b/>
          <w:bCs/>
        </w:rPr>
        <w:t xml:space="preserve">Б.1. Запрос на предоставление информации об обработке персональных данных</w:t>
      </w:r>
      <w:r/>
    </w:p>
    <w:p>
      <w:pPr>
        <w:jc w:val="both"/>
      </w:pPr>
      <w:r>
        <w:t xml:space="preserve">Оператору персональных данных</w:t>
      </w:r>
      <w:r>
        <w:t xml:space="preserve"> </w:t>
      </w:r>
      <w:r>
        <w:t xml:space="preserve">ООО «</w:t>
      </w:r>
      <w:r>
        <w:t xml:space="preserve">ГВ Ассет менеджмент ВиК»</w:t>
      </w:r>
      <w:r/>
    </w:p>
    <w:p>
      <w:pPr>
        <w:jc w:val="both"/>
      </w:pPr>
      <w:r>
        <w:t xml:space="preserve">Адрес: 443085, г. Самара, Южное шоссе, д. 5</w:t>
      </w:r>
      <w:r/>
    </w:p>
    <w:p>
      <w:pPr>
        <w:jc w:val="both"/>
      </w:pPr>
      <w:r>
        <w:t xml:space="preserve">От __________________________________</w:t>
      </w:r>
      <w:r>
        <w:t xml:space="preserve"> </w:t>
      </w:r>
      <w:r>
        <w:t xml:space="preserve">(фамилия, имя, отчество)</w:t>
      </w:r>
      <w:r/>
    </w:p>
    <w:p>
      <w:pPr>
        <w:jc w:val="both"/>
      </w:pPr>
      <w:r>
        <w:t xml:space="preserve">Паспорт: серия ______ номер __________, выдан _________________________</w:t>
      </w:r>
      <w:r>
        <w:t xml:space="preserve"> </w:t>
      </w:r>
      <w:r>
        <w:t xml:space="preserve">______________________________________ (кем и когда)</w:t>
      </w:r>
      <w:r/>
    </w:p>
    <w:p>
      <w:pPr>
        <w:jc w:val="both"/>
      </w:pPr>
      <w:r>
        <w:t xml:space="preserve">Адрес регистрации: ___________________________________________________</w:t>
      </w:r>
      <w:r/>
    </w:p>
    <w:p>
      <w:pPr>
        <w:jc w:val="both"/>
      </w:pPr>
      <w:r>
        <w:t xml:space="preserve">Контактный телефон: ___________________</w:t>
      </w:r>
      <w:r>
        <w:t xml:space="preserve"> </w:t>
      </w:r>
      <w:r>
        <w:t xml:space="preserve">Адрес электронной почты: ______________</w:t>
      </w:r>
      <w:r/>
    </w:p>
    <w:p>
      <w:pPr>
        <w:jc w:val="both"/>
        <w:rPr>
          <w:b/>
          <w:bCs/>
        </w:rPr>
      </w:pPr>
      <w:r>
        <w:rPr>
          <w:b/>
          <w:bCs/>
        </w:rPr>
      </w:r>
      <w:r>
        <w:rPr>
          <w:b/>
          <w:bCs/>
        </w:rPr>
      </w:r>
    </w:p>
    <w:p>
      <w:pPr>
        <w:jc w:val="center"/>
      </w:pPr>
      <w:r>
        <w:rPr>
          <w:b/>
          <w:bCs/>
        </w:rPr>
        <w:t xml:space="preserve">ЗАПРОС</w:t>
      </w:r>
      <w:r/>
    </w:p>
    <w:p>
      <w:pPr>
        <w:jc w:val="both"/>
      </w:pPr>
      <w:r>
        <w:t xml:space="preserve">В соответствии со ст. 14 Федерального закона от 27.07.2006 г. № 152-ФЗ «О персональных данных» прошу предоставить мне информацию, касающуюся обработки моих персональных данных:</w:t>
      </w:r>
      <w:r/>
    </w:p>
    <w:p>
      <w:pPr>
        <w:jc w:val="both"/>
        <w:rPr>
          <w:i/>
          <w:iCs/>
          <w:u w:val="single"/>
        </w:rPr>
      </w:pPr>
      <w:r>
        <w:rPr>
          <w:i/>
          <w:iCs/>
          <w:u w:val="single"/>
        </w:rPr>
        <w:t xml:space="preserve">/</w:t>
      </w:r>
      <w:r>
        <w:rPr>
          <w:i/>
          <w:iCs/>
          <w:u w:val="single"/>
        </w:rPr>
        <w:t xml:space="preserve">Отметить нужное</w:t>
      </w:r>
      <w:r>
        <w:rPr>
          <w:i/>
          <w:iCs/>
          <w:u w:val="single"/>
        </w:rPr>
        <w:t xml:space="preserve">/</w:t>
      </w:r>
      <w:r>
        <w:rPr>
          <w:i/>
          <w:iCs/>
          <w:u w:val="single"/>
        </w:rPr>
      </w:r>
    </w:p>
    <w:p>
      <w:pPr>
        <w:numPr>
          <w:ilvl w:val="0"/>
          <w:numId w:val="20"/>
        </w:numPr>
        <w:jc w:val="both"/>
      </w:pPr>
      <w:r>
        <w:t xml:space="preserve">подтвердить факт обработки моих персональных данных;</w:t>
      </w:r>
      <w:r/>
    </w:p>
    <w:p>
      <w:pPr>
        <w:numPr>
          <w:ilvl w:val="0"/>
          <w:numId w:val="20"/>
        </w:numPr>
        <w:jc w:val="both"/>
      </w:pPr>
      <w:r>
        <w:t xml:space="preserve">правовые основания и цели обработки моих персональных данных;</w:t>
      </w:r>
      <w:r/>
    </w:p>
    <w:p>
      <w:pPr>
        <w:numPr>
          <w:ilvl w:val="0"/>
          <w:numId w:val="20"/>
        </w:numPr>
        <w:jc w:val="both"/>
      </w:pPr>
      <w:r>
        <w:t xml:space="preserve">применяемые способы обработки моих персональных данных;</w:t>
      </w:r>
      <w:r/>
    </w:p>
    <w:p>
      <w:pPr>
        <w:numPr>
          <w:ilvl w:val="0"/>
          <w:numId w:val="20"/>
        </w:numPr>
        <w:jc w:val="both"/>
      </w:pPr>
      <w:r>
        <w:t xml:space="preserve">наименование и место нахождения Оператора;</w:t>
      </w:r>
      <w:r/>
    </w:p>
    <w:p>
      <w:pPr>
        <w:numPr>
          <w:ilvl w:val="0"/>
          <w:numId w:val="20"/>
        </w:numPr>
        <w:jc w:val="both"/>
      </w:pPr>
      <w:r>
        <w:t xml:space="preserve">сведения о лицах (за исключением работников Оператора), которые имеют доступ к моим персональным данным или которым могут быть раскрыты мои персональные данные;</w:t>
      </w:r>
      <w:r/>
    </w:p>
    <w:p>
      <w:pPr>
        <w:numPr>
          <w:ilvl w:val="0"/>
          <w:numId w:val="20"/>
        </w:numPr>
        <w:jc w:val="both"/>
      </w:pPr>
      <w:r>
        <w:t xml:space="preserve">перечень обрабатываемых персональных данных, относящихся ко мне, и источник их получения;</w:t>
      </w:r>
      <w:r/>
    </w:p>
    <w:p>
      <w:pPr>
        <w:numPr>
          <w:ilvl w:val="0"/>
          <w:numId w:val="20"/>
        </w:numPr>
        <w:jc w:val="both"/>
      </w:pPr>
      <w:r>
        <w:t xml:space="preserve">сроки обработки моих персональных данных, в том числе сроки их хранения;</w:t>
      </w:r>
      <w:r/>
    </w:p>
    <w:p>
      <w:pPr>
        <w:numPr>
          <w:ilvl w:val="0"/>
          <w:numId w:val="20"/>
        </w:numPr>
        <w:jc w:val="both"/>
      </w:pPr>
      <w:r>
        <w:t xml:space="preserve">порядок осуществления моих прав, предусмотренных Федеральным законом «О персональных данных»;</w:t>
      </w:r>
      <w:r/>
    </w:p>
    <w:p>
      <w:pPr>
        <w:numPr>
          <w:ilvl w:val="0"/>
          <w:numId w:val="20"/>
        </w:numPr>
        <w:jc w:val="both"/>
      </w:pPr>
      <w:r>
        <w:t xml:space="preserve">информацию об осуществленной или предполагаемой трансграничной передаче моих персональных данных;</w:t>
      </w:r>
      <w:r/>
    </w:p>
    <w:p>
      <w:pPr>
        <w:numPr>
          <w:ilvl w:val="0"/>
          <w:numId w:val="20"/>
        </w:numPr>
        <w:jc w:val="both"/>
      </w:pPr>
      <w:r>
        <w:t xml:space="preserve">наименование лиц, осуществляющих обработку моих персональных данных по поручению Оператора.</w:t>
      </w:r>
      <w:r/>
    </w:p>
    <w:p>
      <w:pPr>
        <w:jc w:val="both"/>
      </w:pPr>
      <w:r>
        <w:t xml:space="preserve">Сведения прошу предоставить по адресу: _________________________________</w:t>
      </w:r>
      <w:r/>
    </w:p>
    <w:p>
      <w:pPr>
        <w:jc w:val="both"/>
      </w:pPr>
      <w:r>
        <w:t xml:space="preserve">«</w:t>
      </w:r>
      <w:r>
        <w:rPr>
          <w:i/>
          <w:iCs/>
        </w:rPr>
        <w:t xml:space="preserve">» __________ 20</w:t>
      </w:r>
      <w:r>
        <w:rPr>
          <w:i/>
          <w:iCs/>
        </w:rPr>
        <w:t xml:space="preserve"> г. _____________ /</w:t>
      </w:r>
      <w:r>
        <w:t xml:space="preserve">_________________/</w:t>
      </w:r>
      <w:r>
        <w:t xml:space="preserve"> </w:t>
      </w:r>
      <w:r>
        <w:t xml:space="preserve">(подпись) (Ф.И.О.)</w:t>
      </w:r>
      <w:r/>
    </w:p>
    <w:p>
      <w:r>
        <w:br w:type="page" w:clear="all"/>
      </w:r>
      <w:r/>
    </w:p>
    <w:p>
      <w:pPr>
        <w:jc w:val="both"/>
      </w:pPr>
      <w:r/>
      <w:r/>
    </w:p>
    <w:p>
      <w:pPr>
        <w:jc w:val="center"/>
      </w:pPr>
      <w:r>
        <w:rPr>
          <w:b/>
          <w:bCs/>
        </w:rPr>
        <w:t xml:space="preserve">Б.2. Отзыв согласия на обработку персональных данных</w:t>
      </w:r>
      <w:r/>
    </w:p>
    <w:p>
      <w:pPr>
        <w:jc w:val="both"/>
      </w:pPr>
      <w:r>
        <w:t xml:space="preserve">Оператору персональных данных</w:t>
      </w:r>
      <w:r>
        <w:t xml:space="preserve"> </w:t>
      </w:r>
      <w:r>
        <w:t xml:space="preserve">ООО «</w:t>
      </w:r>
      <w:r>
        <w:t xml:space="preserve">ГВ</w:t>
      </w:r>
      <w:r>
        <w:t xml:space="preserve"> Ассет менеджмент ВиК»</w:t>
      </w:r>
      <w:r>
        <w:t xml:space="preserve">»</w:t>
      </w:r>
      <w:r>
        <w:t xml:space="preserve"> </w:t>
      </w:r>
      <w:r/>
    </w:p>
    <w:p>
      <w:pPr>
        <w:jc w:val="both"/>
      </w:pPr>
      <w:r>
        <w:t xml:space="preserve">Адрес: 443085, г. Самара, Южное шоссе, д. 5</w:t>
      </w:r>
      <w:r/>
    </w:p>
    <w:p>
      <w:pPr>
        <w:jc w:val="both"/>
      </w:pPr>
      <w:r>
        <w:t xml:space="preserve">От __________________________________</w:t>
      </w:r>
      <w:r>
        <w:t xml:space="preserve"> </w:t>
      </w:r>
      <w:r>
        <w:t xml:space="preserve">(фамилия, имя, отчество)</w:t>
      </w:r>
      <w:r/>
    </w:p>
    <w:p>
      <w:pPr>
        <w:jc w:val="both"/>
      </w:pPr>
      <w:r>
        <w:t xml:space="preserve">Паспорт: серия ______ номер __________, выдан _________________________</w:t>
      </w:r>
      <w:r>
        <w:t xml:space="preserve"> </w:t>
      </w:r>
      <w:r>
        <w:t xml:space="preserve">______________________________________ (кем и когда)</w:t>
      </w:r>
      <w:r/>
    </w:p>
    <w:p>
      <w:pPr>
        <w:jc w:val="both"/>
      </w:pPr>
      <w:r>
        <w:t xml:space="preserve">Адрес регистрации: ___________________________________________________</w:t>
      </w:r>
      <w:r/>
    </w:p>
    <w:p>
      <w:pPr>
        <w:jc w:val="both"/>
      </w:pPr>
      <w:r>
        <w:t xml:space="preserve">Контактный телефон: ___________________</w:t>
      </w:r>
      <w:r>
        <w:t xml:space="preserve"> </w:t>
      </w:r>
      <w:r>
        <w:t xml:space="preserve">Адрес электронной почты: ______________</w:t>
      </w:r>
      <w:r/>
    </w:p>
    <w:p>
      <w:pPr>
        <w:jc w:val="center"/>
        <w:rPr>
          <w:b/>
          <w:bCs/>
        </w:rPr>
      </w:pPr>
      <w:r>
        <w:rPr>
          <w:b/>
          <w:bCs/>
        </w:rPr>
        <w:t xml:space="preserve">ЗАЯВЛЕНИЕ</w:t>
      </w:r>
      <w:r>
        <w:rPr>
          <w:b/>
          <w:bCs/>
        </w:rPr>
        <w:t xml:space="preserve"> </w:t>
      </w:r>
      <w:r>
        <w:rPr>
          <w:b/>
          <w:bCs/>
        </w:rPr>
      </w:r>
    </w:p>
    <w:p>
      <w:pPr>
        <w:jc w:val="center"/>
      </w:pPr>
      <w:r>
        <w:rPr>
          <w:b/>
          <w:bCs/>
        </w:rPr>
        <w:t xml:space="preserve">об отзыве согласия на обработку персональных данных</w:t>
      </w:r>
      <w:r/>
    </w:p>
    <w:p>
      <w:pPr>
        <w:jc w:val="both"/>
      </w:pPr>
      <w:r>
        <w:t xml:space="preserve">На основании ст. 9 Федерального закона от 27.07.2006 г. № 152-ФЗ «О персональных данных» отзываю ранее данное мною согласие на обработку моих персональных данных.</w:t>
      </w:r>
      <w:r/>
    </w:p>
    <w:p>
      <w:pPr>
        <w:jc w:val="both"/>
      </w:pPr>
      <w:r>
        <w:t xml:space="preserve">Прошу прекратить обработку моих персональных данных и уничтожить их в срок, не превышающий 30 дней с даты получения настоящего отзыва.</w:t>
      </w:r>
      <w:r/>
    </w:p>
    <w:p>
      <w:pPr>
        <w:jc w:val="both"/>
      </w:pPr>
      <w:r>
        <w:t xml:space="preserve">«</w:t>
      </w:r>
      <w:r>
        <w:rPr>
          <w:i/>
          <w:iCs/>
        </w:rPr>
        <w:t xml:space="preserve">» __________ 20 г.</w:t>
      </w:r>
      <w:r>
        <w:rPr>
          <w:i/>
          <w:iCs/>
        </w:rPr>
        <w:t xml:space="preserve"> _____________ /</w:t>
      </w:r>
      <w:r>
        <w:t xml:space="preserve">_________________/</w:t>
      </w:r>
      <w:r>
        <w:t xml:space="preserve"> </w:t>
      </w:r>
      <w:r>
        <w:t xml:space="preserve">(подпись) (Ф.И.О.)</w:t>
      </w:r>
      <w:r/>
    </w:p>
    <w:p>
      <w:r>
        <w:br w:type="page" w:clear="all"/>
      </w:r>
      <w:r/>
    </w:p>
    <w:p>
      <w:pPr>
        <w:jc w:val="both"/>
      </w:pPr>
      <w:r/>
      <w:r/>
    </w:p>
    <w:p>
      <w:pPr>
        <w:jc w:val="center"/>
      </w:pPr>
      <w:r>
        <w:rPr>
          <w:b/>
          <w:bCs/>
        </w:rPr>
        <w:t xml:space="preserve">Б.3. Требование об уточнении/уничтожении персональных данных</w:t>
      </w:r>
      <w:r/>
    </w:p>
    <w:p>
      <w:pPr>
        <w:jc w:val="both"/>
      </w:pPr>
      <w:r>
        <w:t xml:space="preserve">Оператору персональных данных</w:t>
      </w:r>
      <w:r>
        <w:t xml:space="preserve"> </w:t>
      </w:r>
      <w:r>
        <w:t xml:space="preserve">ООО «</w:t>
      </w:r>
      <w:r>
        <w:t xml:space="preserve">ГВ</w:t>
      </w:r>
      <w:r>
        <w:t xml:space="preserve"> Ассет менеджмент ВиК»</w:t>
      </w:r>
      <w:r/>
    </w:p>
    <w:p>
      <w:pPr>
        <w:jc w:val="both"/>
      </w:pPr>
      <w:r>
        <w:t xml:space="preserve">Адрес: 443085, г. Самара, Южное шоссе, д. 5</w:t>
      </w:r>
      <w:r/>
    </w:p>
    <w:p>
      <w:pPr>
        <w:jc w:val="both"/>
      </w:pPr>
      <w:r>
        <w:t xml:space="preserve">От __________________________________</w:t>
      </w:r>
      <w:r>
        <w:t xml:space="preserve"> </w:t>
      </w:r>
      <w:r>
        <w:t xml:space="preserve">(фамилия, имя, отчество)</w:t>
      </w:r>
      <w:r/>
    </w:p>
    <w:p>
      <w:pPr>
        <w:jc w:val="both"/>
      </w:pPr>
      <w:r>
        <w:t xml:space="preserve">Паспорт: серия ______ номер __________, выдан _________________________</w:t>
      </w:r>
      <w:r>
        <w:t xml:space="preserve"> </w:t>
      </w:r>
      <w:r>
        <w:t xml:space="preserve">______________________________________ (кем и когда)</w:t>
      </w:r>
      <w:r/>
    </w:p>
    <w:p>
      <w:pPr>
        <w:jc w:val="both"/>
      </w:pPr>
      <w:r>
        <w:t xml:space="preserve">Адрес регистрации: ___________________________________________________</w:t>
      </w:r>
      <w:r/>
    </w:p>
    <w:p>
      <w:pPr>
        <w:jc w:val="both"/>
      </w:pPr>
      <w:r>
        <w:t xml:space="preserve">Контактный телефон: ___________________</w:t>
      </w:r>
      <w:r>
        <w:t xml:space="preserve"> </w:t>
      </w:r>
      <w:r>
        <w:t xml:space="preserve">Адрес электронной почты: ______________</w:t>
      </w:r>
      <w:r/>
    </w:p>
    <w:p>
      <w:pPr>
        <w:jc w:val="center"/>
        <w:rPr>
          <w:b/>
          <w:bCs/>
        </w:rPr>
      </w:pPr>
      <w:r>
        <w:rPr>
          <w:b/>
          <w:bCs/>
        </w:rPr>
        <w:t xml:space="preserve">ТРЕБОВАНИЕ</w:t>
      </w:r>
      <w:r>
        <w:rPr>
          <w:b/>
          <w:bCs/>
        </w:rPr>
        <w:t xml:space="preserve"> </w:t>
      </w:r>
      <w:r>
        <w:rPr>
          <w:b/>
          <w:bCs/>
        </w:rPr>
      </w:r>
    </w:p>
    <w:p>
      <w:pPr>
        <w:jc w:val="center"/>
      </w:pPr>
      <w:r>
        <w:rPr>
          <w:b/>
          <w:bCs/>
        </w:rPr>
        <w:t xml:space="preserve">об уточнении/уничтожении персональных данных</w:t>
      </w:r>
      <w:r/>
    </w:p>
    <w:p>
      <w:pPr>
        <w:jc w:val="both"/>
      </w:pPr>
      <w:r>
        <w:t xml:space="preserve">В соответствии со ст. 14 и ст. 21 Федерального закона от 27.07.2006 г. № 152-ФЗ «О персональных данных» прошу уточнить/уничтожить мои персональные данные в связи с тем, что:</w:t>
      </w:r>
      <w:r/>
    </w:p>
    <w:p>
      <w:pPr>
        <w:jc w:val="both"/>
      </w:pPr>
      <w:r>
        <mc:AlternateContent>
          <mc:Choice Requires="wpg">
            <w:drawing>
              <wp:inline xmlns:wp="http://schemas.openxmlformats.org/drawingml/2006/wordprocessingDrawing" distT="0" distB="0" distL="0" distR="0">
                <wp:extent cx="0" cy="9525"/>
                <wp:effectExtent l="0" t="0" r="0" b="0"/>
                <wp:docPr id="2" name="_x0000_i1026"/>
                <wp:cNvGraphicFramePr/>
                <a:graphic xmlns:a="http://schemas.openxmlformats.org/drawingml/2006/main">
                  <a:graphicData uri="http://schemas.microsoft.com/office/word/2010/wordprocessingShape">
                    <wps:wsp>
                      <wps:cNvPr id="0" name=""/>
                      <wps:cNvSpPr/>
                      <wps:spPr bwMode="auto">
                        <a:xfrm>
                          <a:off x="0" y="0"/>
                          <a:ext cx="0" cy="9525"/>
                        </a:xfrm>
                        <a:prstGeom prst="rect">
                          <a:avLst/>
                        </a:prstGeom>
                        <a:solidFill>
                          <a:srgbClr val="A0A0A0"/>
                        </a:solidFill>
                        <a:ln>
                          <a:noFill/>
                        </a:ln>
                      </wps:spPr>
                      <wps:bodyPr rot="0">
                        <a:prstTxWarp prst="textNoShape">
                          <a:avLst/>
                        </a:prstTxWarp>
                        <a:noAutofit/>
                      </wps:bodyPr>
                    </wps:wsp>
                  </a:graphicData>
                </a:graphic>
              </wp:inline>
            </w:drawing>
          </mc:Choice>
          <mc:Fallback>
            <w:pict>
              <v:shape id="shape 1" o:spid="_x0000_s1" o:spt="1" type="#_x0000_t1" style="width:0.00pt;height:0.75pt;mso-wrap-distance-left:0.00pt;mso-wrap-distance-top:0.00pt;mso-wrap-distance-right:0.00pt;mso-wrap-distance-bottom:0.00pt;visibility:visible;" fillcolor="#A0A0A0" stroked="f"/>
            </w:pict>
          </mc:Fallback>
        </mc:AlternateContent>
      </w:r>
      <w:r/>
    </w:p>
    <w:p>
      <w:pPr>
        <w:jc w:val="both"/>
      </w:pPr>
      <w:r>
        <w:t xml:space="preserve">(указать причину: персональные данные являются неполными, устаревшими, неточными, незаконно полученными или не являются необходимыми для заявленной цели обработки)</w:t>
      </w:r>
      <w:r/>
    </w:p>
    <w:p>
      <w:pPr>
        <w:jc w:val="both"/>
      </w:pPr>
      <w:r>
        <w:t xml:space="preserve">«</w:t>
      </w:r>
      <w:r>
        <w:rPr>
          <w:i/>
          <w:iCs/>
        </w:rPr>
        <w:t xml:space="preserve">» __________ 20 г.</w:t>
      </w:r>
      <w:r>
        <w:rPr>
          <w:i/>
          <w:iCs/>
        </w:rPr>
        <w:t xml:space="preserve"> _____________ /</w:t>
      </w:r>
      <w:r>
        <w:t xml:space="preserve">_________________/</w:t>
      </w:r>
      <w:r>
        <w:t xml:space="preserve"> </w:t>
      </w:r>
      <w:r>
        <w:t xml:space="preserve">(подпись) (Ф.И.О.)</w:t>
      </w:r>
      <w:r/>
    </w:p>
    <w:p>
      <w:pPr>
        <w:jc w:val="both"/>
      </w:pPr>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Times New Roman">
    <w:panose1 w:val="02020603050405020304"/>
  </w:font>
  <w:font w:name="Wingdings">
    <w:panose1 w:val="05010000000000000000"/>
  </w:font>
  <w:font w:name="Liberation Sans">
    <w:panose1 w:val="020B06040202020202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4">
    <w:multiLevelType w:val="hybridMultilevel"/>
    <w:lvl w:ilvl="0">
      <w:start w:val="1"/>
      <w:numFmt w:val="bullet"/>
      <w:isLgl w:val="false"/>
      <w:suff w:val="tab"/>
      <w:lvlText w:val=""/>
      <w:lvlJc w:val="left"/>
      <w:pPr>
        <w:ind w:left="1080" w:hanging="360"/>
      </w:pPr>
      <w:rPr>
        <w:rFonts w:hint="default" w:ascii="Symbol" w:hAnsi="Symbol"/>
      </w:rPr>
    </w:lvl>
    <w:lvl w:ilvl="1">
      <w:start w:val="1"/>
      <w:numFmt w:val="bullet"/>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5">
    <w:multiLevelType w:val="hybridMultilevel"/>
    <w:lvl w:ilvl="0">
      <w:start w:val="1"/>
      <w:numFmt w:val="bullet"/>
      <w:isLgl w:val="false"/>
      <w:suff w:val="tab"/>
      <w:lvlText w:val="o"/>
      <w:lvlJc w:val="left"/>
      <w:pPr>
        <w:ind w:left="720" w:hanging="360"/>
        <w:tabs>
          <w:tab w:val="num" w:pos="720" w:leader="none"/>
        </w:tabs>
      </w:pPr>
      <w:rPr>
        <w:rFonts w:hint="default" w:ascii="Courier New" w:hAnsi="Courier New" w:cs="Courier New"/>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8"/>
  </w:num>
  <w:num w:numId="2">
    <w:abstractNumId w:val="3"/>
  </w:num>
  <w:num w:numId="3">
    <w:abstractNumId w:val="10"/>
  </w:num>
  <w:num w:numId="4">
    <w:abstractNumId w:val="15"/>
  </w:num>
  <w:num w:numId="5">
    <w:abstractNumId w:val="11"/>
  </w:num>
  <w:num w:numId="6">
    <w:abstractNumId w:val="9"/>
  </w:num>
  <w:num w:numId="7">
    <w:abstractNumId w:val="23"/>
  </w:num>
  <w:num w:numId="8">
    <w:abstractNumId w:val="17"/>
  </w:num>
  <w:num w:numId="9">
    <w:abstractNumId w:val="12"/>
  </w:num>
  <w:num w:numId="10">
    <w:abstractNumId w:val="7"/>
  </w:num>
  <w:num w:numId="11">
    <w:abstractNumId w:val="1"/>
  </w:num>
  <w:num w:numId="12">
    <w:abstractNumId w:val="19"/>
  </w:num>
  <w:num w:numId="13">
    <w:abstractNumId w:val="20"/>
  </w:num>
  <w:num w:numId="14">
    <w:abstractNumId w:val="14"/>
  </w:num>
  <w:num w:numId="15">
    <w:abstractNumId w:val="2"/>
  </w:num>
  <w:num w:numId="16">
    <w:abstractNumId w:val="8"/>
  </w:num>
  <w:num w:numId="17">
    <w:abstractNumId w:val="22"/>
  </w:num>
  <w:num w:numId="18">
    <w:abstractNumId w:val="0"/>
  </w:num>
  <w:num w:numId="19">
    <w:abstractNumId w:val="4"/>
  </w:num>
  <w:num w:numId="20">
    <w:abstractNumId w:val="5"/>
  </w:num>
  <w:num w:numId="21">
    <w:abstractNumId w:val="6"/>
  </w:num>
  <w:num w:numId="22">
    <w:abstractNumId w:val="13"/>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14:ligatures w14:val="standardContextual"/>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
    <w:name w:val="Heading 1 Char"/>
    <w:basedOn w:val="676"/>
    <w:link w:val="667"/>
    <w:uiPriority w:val="9"/>
    <w:rPr>
      <w:rFonts w:ascii="Liberation Sans" w:hAnsi="Liberation Sans" w:eastAsia="Liberation Sans" w:cs="Liberation Sans"/>
      <w:sz w:val="40"/>
      <w:szCs w:val="40"/>
    </w:rPr>
  </w:style>
  <w:style w:type="character" w:styleId="17">
    <w:name w:val="Heading 2 Char"/>
    <w:basedOn w:val="676"/>
    <w:link w:val="668"/>
    <w:uiPriority w:val="9"/>
    <w:rPr>
      <w:rFonts w:ascii="Liberation Sans" w:hAnsi="Liberation Sans" w:eastAsia="Liberation Sans" w:cs="Liberation Sans"/>
      <w:sz w:val="34"/>
    </w:rPr>
  </w:style>
  <w:style w:type="character" w:styleId="19">
    <w:name w:val="Heading 3 Char"/>
    <w:basedOn w:val="676"/>
    <w:link w:val="669"/>
    <w:uiPriority w:val="9"/>
    <w:rPr>
      <w:rFonts w:ascii="Liberation Sans" w:hAnsi="Liberation Sans" w:eastAsia="Liberation Sans" w:cs="Liberation Sans"/>
      <w:sz w:val="30"/>
      <w:szCs w:val="30"/>
    </w:rPr>
  </w:style>
  <w:style w:type="character" w:styleId="21">
    <w:name w:val="Heading 4 Char"/>
    <w:basedOn w:val="676"/>
    <w:link w:val="670"/>
    <w:uiPriority w:val="9"/>
    <w:rPr>
      <w:rFonts w:ascii="Liberation Sans" w:hAnsi="Liberation Sans" w:eastAsia="Liberation Sans" w:cs="Liberation Sans"/>
      <w:b/>
      <w:bCs/>
      <w:sz w:val="26"/>
      <w:szCs w:val="26"/>
    </w:rPr>
  </w:style>
  <w:style w:type="character" w:styleId="23">
    <w:name w:val="Heading 5 Char"/>
    <w:basedOn w:val="676"/>
    <w:link w:val="671"/>
    <w:uiPriority w:val="9"/>
    <w:rPr>
      <w:rFonts w:ascii="Liberation Sans" w:hAnsi="Liberation Sans" w:eastAsia="Liberation Sans" w:cs="Liberation Sans"/>
      <w:b/>
      <w:bCs/>
      <w:sz w:val="24"/>
      <w:szCs w:val="24"/>
    </w:rPr>
  </w:style>
  <w:style w:type="character" w:styleId="25">
    <w:name w:val="Heading 6 Char"/>
    <w:basedOn w:val="676"/>
    <w:link w:val="672"/>
    <w:uiPriority w:val="9"/>
    <w:rPr>
      <w:rFonts w:ascii="Liberation Sans" w:hAnsi="Liberation Sans" w:eastAsia="Liberation Sans" w:cs="Liberation Sans"/>
      <w:b/>
      <w:bCs/>
      <w:sz w:val="22"/>
      <w:szCs w:val="22"/>
    </w:rPr>
  </w:style>
  <w:style w:type="character" w:styleId="27">
    <w:name w:val="Heading 7 Char"/>
    <w:basedOn w:val="676"/>
    <w:link w:val="673"/>
    <w:uiPriority w:val="9"/>
    <w:rPr>
      <w:rFonts w:ascii="Liberation Sans" w:hAnsi="Liberation Sans" w:eastAsia="Liberation Sans" w:cs="Liberation Sans"/>
      <w:b/>
      <w:bCs/>
      <w:i/>
      <w:iCs/>
      <w:sz w:val="22"/>
      <w:szCs w:val="22"/>
    </w:rPr>
  </w:style>
  <w:style w:type="character" w:styleId="29">
    <w:name w:val="Heading 8 Char"/>
    <w:basedOn w:val="676"/>
    <w:link w:val="674"/>
    <w:uiPriority w:val="9"/>
    <w:rPr>
      <w:rFonts w:ascii="Liberation Sans" w:hAnsi="Liberation Sans" w:eastAsia="Liberation Sans" w:cs="Liberation Sans"/>
      <w:i/>
      <w:iCs/>
      <w:sz w:val="22"/>
      <w:szCs w:val="22"/>
    </w:rPr>
  </w:style>
  <w:style w:type="character" w:styleId="31">
    <w:name w:val="Heading 9 Char"/>
    <w:basedOn w:val="676"/>
    <w:link w:val="675"/>
    <w:uiPriority w:val="9"/>
    <w:rPr>
      <w:rFonts w:ascii="Liberation Sans" w:hAnsi="Liberation Sans" w:eastAsia="Liberation Sans" w:cs="Liberation Sans"/>
      <w:i/>
      <w:iCs/>
      <w:sz w:val="21"/>
      <w:szCs w:val="21"/>
    </w:rPr>
  </w:style>
  <w:style w:type="paragraph" w:styleId="34">
    <w:name w:val="No Spacing"/>
    <w:uiPriority w:val="1"/>
    <w:qFormat/>
    <w:pPr>
      <w:spacing w:before="0" w:after="0" w:line="240" w:lineRule="auto"/>
    </w:pPr>
  </w:style>
  <w:style w:type="character" w:styleId="36">
    <w:name w:val="Title Char"/>
    <w:basedOn w:val="676"/>
    <w:link w:val="688"/>
    <w:uiPriority w:val="10"/>
    <w:rPr>
      <w:sz w:val="48"/>
      <w:szCs w:val="48"/>
    </w:rPr>
  </w:style>
  <w:style w:type="character" w:styleId="38">
    <w:name w:val="Subtitle Char"/>
    <w:basedOn w:val="676"/>
    <w:link w:val="690"/>
    <w:uiPriority w:val="11"/>
    <w:rPr>
      <w:sz w:val="24"/>
      <w:szCs w:val="24"/>
    </w:rPr>
  </w:style>
  <w:style w:type="character" w:styleId="40">
    <w:name w:val="Quote Char"/>
    <w:link w:val="692"/>
    <w:uiPriority w:val="29"/>
    <w:rPr>
      <w:i/>
    </w:rPr>
  </w:style>
  <w:style w:type="character" w:styleId="42">
    <w:name w:val="Intense Quote Char"/>
    <w:link w:val="696"/>
    <w:uiPriority w:val="30"/>
    <w:rPr>
      <w:i/>
    </w:rPr>
  </w:style>
  <w:style w:type="paragraph" w:styleId="43">
    <w:name w:val="Header"/>
    <w:basedOn w:val="666"/>
    <w:link w:val="44"/>
    <w:uiPriority w:val="99"/>
    <w:unhideWhenUsed/>
    <w:pPr>
      <w:spacing w:after="0" w:line="240" w:lineRule="auto"/>
      <w:tabs>
        <w:tab w:val="center" w:pos="7143" w:leader="none"/>
        <w:tab w:val="right" w:pos="14287" w:leader="none"/>
      </w:tabs>
    </w:pPr>
  </w:style>
  <w:style w:type="character" w:styleId="44">
    <w:name w:val="Header Char"/>
    <w:basedOn w:val="676"/>
    <w:link w:val="43"/>
    <w:uiPriority w:val="99"/>
  </w:style>
  <w:style w:type="paragraph" w:styleId="45">
    <w:name w:val="Footer"/>
    <w:basedOn w:val="666"/>
    <w:link w:val="46"/>
    <w:uiPriority w:val="99"/>
    <w:unhideWhenUsed/>
    <w:pPr>
      <w:spacing w:after="0" w:line="240" w:lineRule="auto"/>
      <w:tabs>
        <w:tab w:val="center" w:pos="7143" w:leader="none"/>
        <w:tab w:val="right" w:pos="14287" w:leader="none"/>
      </w:tabs>
    </w:pPr>
  </w:style>
  <w:style w:type="character" w:styleId="46">
    <w:name w:val="Footer Char"/>
    <w:basedOn w:val="676"/>
    <w:link w:val="45"/>
    <w:uiPriority w:val="99"/>
  </w:style>
  <w:style w:type="paragraph" w:styleId="47">
    <w:name w:val="Caption"/>
    <w:basedOn w:val="666"/>
    <w:next w:val="666"/>
    <w:link w:val="48"/>
    <w:uiPriority w:val="35"/>
    <w:semiHidden/>
    <w:unhideWhenUsed/>
    <w:qFormat/>
    <w:pPr>
      <w:spacing w:line="276" w:lineRule="auto"/>
    </w:pPr>
    <w:rPr>
      <w:b/>
      <w:bCs/>
      <w:color w:val="4f81bd" w:themeColor="accent1"/>
      <w:sz w:val="18"/>
      <w:szCs w:val="18"/>
    </w:rPr>
  </w:style>
  <w:style w:type="character" w:styleId="48">
    <w:name w:val="Caption Char"/>
    <w:basedOn w:val="676"/>
    <w:link w:val="47"/>
    <w:uiPriority w:val="35"/>
    <w:rPr>
      <w:b/>
      <w:bCs/>
      <w:color w:val="4f81bd" w:themeColor="accent1"/>
      <w:sz w:val="18"/>
      <w:szCs w:val="18"/>
    </w:rPr>
  </w:style>
  <w:style w:type="table" w:styleId="49">
    <w:name w:val="Table Grid"/>
    <w:basedOn w:val="67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6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6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6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6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6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6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6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6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6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6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6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6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6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6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6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6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6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6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6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6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6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6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6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6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6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6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6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6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6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ae3f3" w:themeFill="accent1" w:themeFillTint="32"/>
      </w:tcPr>
    </w:tblStylePr>
    <w:tblStylePr w:type="band1Vert">
      <w:rPr>
        <w:rFonts w:ascii="Liberation Sans" w:hAnsi="Liberation Sans"/>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6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6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6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6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6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Liberation Sans" w:hAnsi="Liberation Sans"/>
        <w:b/>
        <w:color w:val="ffffff"/>
        <w:sz w:val="22"/>
      </w:rPr>
      <w:tcPr>
        <w:shd w:val="clear" w:color="ffffff" w:themeColor="accent1" w:fill="4472c4" w:themeFill="accent1"/>
      </w:tcPr>
    </w:tblStylePr>
    <w:tblStylePr w:type="firstRow">
      <w:rPr>
        <w:rFonts w:ascii="Liberation Sans" w:hAnsi="Liberation Sans"/>
        <w:b/>
        <w:color w:val="ffffff"/>
        <w:sz w:val="22"/>
      </w:rPr>
      <w:tcPr>
        <w:shd w:val="clear" w:color="ffffff" w:themeColor="accent1" w:fill="4472c4" w:themeFill="accent1"/>
      </w:tcPr>
    </w:tblStylePr>
    <w:tblStylePr w:type="lastCol">
      <w:rPr>
        <w:rFonts w:ascii="Liberation Sans" w:hAnsi="Liberation Sans"/>
        <w:b/>
        <w:color w:val="ffffff"/>
        <w:sz w:val="22"/>
      </w:rPr>
      <w:tcPr>
        <w:shd w:val="clear" w:color="ffffff" w:themeColor="accent1" w:fill="4472c4" w:themeFill="accent1"/>
      </w:tcPr>
    </w:tblStylePr>
    <w:tblStylePr w:type="lastRow">
      <w:rPr>
        <w:rFonts w:ascii="Liberation Sans" w:hAnsi="Liberation Sans"/>
        <w:b/>
        <w:color w:val="ffffff"/>
        <w:sz w:val="22"/>
      </w:rPr>
      <w:tcPr>
        <w:shd w:val="clear" w:color="ffffff" w:themeColor="accent1" w:fill="4472c4" w:themeFill="accent1"/>
        <w:tcBorders>
          <w:top w:val="single" w:color="000000" w:themeColor="light1" w:sz="4" w:space="0"/>
        </w:tcBorders>
      </w:tcPr>
    </w:tblStylePr>
  </w:style>
  <w:style w:type="table" w:styleId="86">
    <w:name w:val="Grid Table 5 Dark - Accent 2"/>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Liberation Sans" w:hAnsi="Liberation Sans"/>
        <w:b/>
        <w:color w:val="ffffff"/>
        <w:sz w:val="22"/>
      </w:rPr>
      <w:tcPr>
        <w:shd w:val="clear" w:color="ffffff" w:themeColor="accent5" w:fill="5b9bd5" w:themeFill="accent5"/>
      </w:tcPr>
    </w:tblStylePr>
    <w:tblStylePr w:type="firstRow">
      <w:rPr>
        <w:rFonts w:ascii="Liberation Sans" w:hAnsi="Liberation Sans"/>
        <w:b/>
        <w:color w:val="ffffff"/>
        <w:sz w:val="22"/>
      </w:rPr>
      <w:tcPr>
        <w:shd w:val="clear" w:color="ffffff" w:themeColor="accent5" w:fill="5b9bd5" w:themeFill="accent5"/>
      </w:tcPr>
    </w:tblStylePr>
    <w:tblStylePr w:type="lastCol">
      <w:rPr>
        <w:rFonts w:ascii="Liberation Sans" w:hAnsi="Liberation Sans"/>
        <w:b/>
        <w:color w:val="ffffff"/>
        <w:sz w:val="22"/>
      </w:rPr>
      <w:tcPr>
        <w:shd w:val="clear" w:color="ffffff" w:themeColor="accent5" w:fill="5b9bd5" w:themeFill="accent5"/>
      </w:tcPr>
    </w:tblStylePr>
    <w:tblStylePr w:type="lastRow">
      <w:rPr>
        <w:rFonts w:ascii="Liberation Sans" w:hAnsi="Liberation Sans"/>
        <w:b/>
        <w:color w:val="ffffff"/>
        <w:sz w:val="22"/>
      </w:rPr>
      <w:tcPr>
        <w:shd w:val="clear" w:color="ffffff" w:themeColor="accent5" w:fill="5b9bd5" w:themeFill="accent5"/>
        <w:tcBorders>
          <w:top w:val="single" w:color="000000" w:themeColor="light1" w:sz="4" w:space="0"/>
        </w:tcBorders>
      </w:tcPr>
    </w:tblStylePr>
  </w:style>
  <w:style w:type="table" w:styleId="90">
    <w:name w:val="Grid Table 5 Dark - Accent 6"/>
    <w:basedOn w:val="6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6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6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6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6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6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6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6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6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6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3664a9" w:themeColor="accent1" w:themeTint="80" w:themeShade="95"/>
        <w:sz w:val="22"/>
      </w:rPr>
    </w:tblStylePr>
    <w:tblStylePr w:type="firstCol">
      <w:rPr>
        <w:rFonts w:ascii="Liberation Sans" w:hAnsi="Liberation Sans"/>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6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6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6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6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245d8d" w:themeColor="accent5" w:themeShade="95"/>
        <w:sz w:val="22"/>
      </w:rPr>
    </w:tblStylePr>
    <w:tblStylePr w:type="firstCol">
      <w:rPr>
        <w:rFonts w:ascii="Liberation Sans" w:hAnsi="Liberation Sans"/>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6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6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677"/>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67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67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67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677"/>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67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6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6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6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6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6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6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6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6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6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1">
    <w:name w:val="List Table 3 - Accent 2"/>
    <w:basedOn w:val="6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6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6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6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5">
    <w:name w:val="List Table 3 - Accent 6"/>
    <w:basedOn w:val="6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6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6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8">
    <w:name w:val="List Table 4 - Accent 2"/>
    <w:basedOn w:val="6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6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6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6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2">
    <w:name w:val="List Table 4 - Accent 6"/>
    <w:basedOn w:val="6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6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6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6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6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6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6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6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6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6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2">
    <w:name w:val="List Table 6 Colorful - Accent 2"/>
    <w:basedOn w:val="6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6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6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6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6">
    <w:name w:val="List Table 6 Colorful - Accent 6"/>
    <w:basedOn w:val="6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6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6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254374" w:themeColor="accent1" w:themeShade="95"/>
        <w:sz w:val="22"/>
      </w:rPr>
    </w:tblStylePr>
    <w:tblStylePr w:type="firstCol">
      <w:rPr>
        <w:rFonts w:ascii="Liberation Sans" w:hAnsi="Liberation Sans"/>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54374" w:themeColor="accent1" w:themeShade="95"/>
        <w:sz w:val="22"/>
      </w:rPr>
    </w:tblStylePr>
  </w:style>
  <w:style w:type="table" w:styleId="149">
    <w:name w:val="List Table 7 Colorful - Accent 2"/>
    <w:basedOn w:val="6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6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6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6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2e78b1" w:themeColor="accent5" w:themeTint="9A" w:themeShade="95"/>
        <w:sz w:val="22"/>
      </w:rPr>
    </w:tblStylePr>
    <w:tblStylePr w:type="firstCol">
      <w:rPr>
        <w:rFonts w:ascii="Liberation Sans" w:hAnsi="Liberation Sans"/>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2e78b1" w:themeColor="accent5" w:themeTint="9A" w:themeShade="95"/>
        <w:sz w:val="22"/>
      </w:rPr>
    </w:tblStylePr>
  </w:style>
  <w:style w:type="table" w:styleId="153">
    <w:name w:val="List Table 7 Colorful - Accent 6"/>
    <w:basedOn w:val="6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156">
    <w:name w:val="Lined - Accent 2"/>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160">
    <w:name w:val="Lined - Accent 6"/>
    <w:basedOn w:val="6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6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6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163">
    <w:name w:val="Bordered &amp; Lined - Accent 2"/>
    <w:basedOn w:val="6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6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6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6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167">
    <w:name w:val="Bordered &amp; Lined - Accent 6"/>
    <w:basedOn w:val="6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6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6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6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6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6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6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6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176">
    <w:name w:val="footnote text"/>
    <w:basedOn w:val="666"/>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676"/>
    <w:uiPriority w:val="99"/>
    <w:unhideWhenUsed/>
    <w:rPr>
      <w:vertAlign w:val="superscript"/>
    </w:rPr>
  </w:style>
  <w:style w:type="paragraph" w:styleId="179">
    <w:name w:val="endnote text"/>
    <w:basedOn w:val="666"/>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676"/>
    <w:uiPriority w:val="99"/>
    <w:semiHidden/>
    <w:unhideWhenUsed/>
    <w:rPr>
      <w:vertAlign w:val="superscript"/>
    </w:rPr>
  </w:style>
  <w:style w:type="paragraph" w:styleId="182">
    <w:name w:val="toc 1"/>
    <w:basedOn w:val="666"/>
    <w:next w:val="666"/>
    <w:uiPriority w:val="39"/>
    <w:unhideWhenUsed/>
    <w:pPr>
      <w:ind w:left="0" w:right="0" w:firstLine="0"/>
      <w:spacing w:after="57"/>
    </w:pPr>
  </w:style>
  <w:style w:type="paragraph" w:styleId="183">
    <w:name w:val="toc 2"/>
    <w:basedOn w:val="666"/>
    <w:next w:val="666"/>
    <w:uiPriority w:val="39"/>
    <w:unhideWhenUsed/>
    <w:pPr>
      <w:ind w:left="283" w:right="0" w:firstLine="0"/>
      <w:spacing w:after="57"/>
    </w:pPr>
  </w:style>
  <w:style w:type="paragraph" w:styleId="184">
    <w:name w:val="toc 3"/>
    <w:basedOn w:val="666"/>
    <w:next w:val="666"/>
    <w:uiPriority w:val="39"/>
    <w:unhideWhenUsed/>
    <w:pPr>
      <w:ind w:left="567" w:right="0" w:firstLine="0"/>
      <w:spacing w:after="57"/>
    </w:pPr>
  </w:style>
  <w:style w:type="paragraph" w:styleId="185">
    <w:name w:val="toc 4"/>
    <w:basedOn w:val="666"/>
    <w:next w:val="666"/>
    <w:uiPriority w:val="39"/>
    <w:unhideWhenUsed/>
    <w:pPr>
      <w:ind w:left="850" w:right="0" w:firstLine="0"/>
      <w:spacing w:after="57"/>
    </w:pPr>
  </w:style>
  <w:style w:type="paragraph" w:styleId="186">
    <w:name w:val="toc 5"/>
    <w:basedOn w:val="666"/>
    <w:next w:val="666"/>
    <w:uiPriority w:val="39"/>
    <w:unhideWhenUsed/>
    <w:pPr>
      <w:ind w:left="1134" w:right="0" w:firstLine="0"/>
      <w:spacing w:after="57"/>
    </w:pPr>
  </w:style>
  <w:style w:type="paragraph" w:styleId="187">
    <w:name w:val="toc 6"/>
    <w:basedOn w:val="666"/>
    <w:next w:val="666"/>
    <w:uiPriority w:val="39"/>
    <w:unhideWhenUsed/>
    <w:pPr>
      <w:ind w:left="1417" w:right="0" w:firstLine="0"/>
      <w:spacing w:after="57"/>
    </w:pPr>
  </w:style>
  <w:style w:type="paragraph" w:styleId="188">
    <w:name w:val="toc 7"/>
    <w:basedOn w:val="666"/>
    <w:next w:val="666"/>
    <w:uiPriority w:val="39"/>
    <w:unhideWhenUsed/>
    <w:pPr>
      <w:ind w:left="1701" w:right="0" w:firstLine="0"/>
      <w:spacing w:after="57"/>
    </w:pPr>
  </w:style>
  <w:style w:type="paragraph" w:styleId="189">
    <w:name w:val="toc 8"/>
    <w:basedOn w:val="666"/>
    <w:next w:val="666"/>
    <w:uiPriority w:val="39"/>
    <w:unhideWhenUsed/>
    <w:pPr>
      <w:ind w:left="1984" w:right="0" w:firstLine="0"/>
      <w:spacing w:after="57"/>
    </w:pPr>
  </w:style>
  <w:style w:type="paragraph" w:styleId="190">
    <w:name w:val="toc 9"/>
    <w:basedOn w:val="666"/>
    <w:next w:val="666"/>
    <w:uiPriority w:val="39"/>
    <w:unhideWhenUsed/>
    <w:pPr>
      <w:ind w:left="2268" w:right="0" w:firstLine="0"/>
      <w:spacing w:after="57"/>
    </w:pPr>
  </w:style>
  <w:style w:type="paragraph" w:styleId="191">
    <w:name w:val="TOC Heading"/>
    <w:uiPriority w:val="39"/>
    <w:unhideWhenUsed/>
  </w:style>
  <w:style w:type="paragraph" w:styleId="192">
    <w:name w:val="table of figures"/>
    <w:basedOn w:val="666"/>
    <w:next w:val="666"/>
    <w:uiPriority w:val="99"/>
    <w:unhideWhenUsed/>
    <w:pPr>
      <w:spacing w:after="0" w:afterAutospacing="0"/>
    </w:pPr>
  </w:style>
  <w:style w:type="paragraph" w:styleId="666" w:default="1">
    <w:name w:val="Normal"/>
    <w:qFormat/>
  </w:style>
  <w:style w:type="paragraph" w:styleId="667">
    <w:name w:val="Heading 1"/>
    <w:basedOn w:val="666"/>
    <w:next w:val="666"/>
    <w:link w:val="679"/>
    <w:uiPriority w:val="9"/>
    <w:qFormat/>
    <w:pPr>
      <w:keepLines/>
      <w:keepNext/>
      <w:spacing w:before="360" w:after="80"/>
      <w:outlineLvl w:val="0"/>
    </w:pPr>
    <w:rPr>
      <w:rFonts w:asciiTheme="majorHAnsi" w:hAnsiTheme="majorHAnsi" w:eastAsiaTheme="majorEastAsia" w:cstheme="majorBidi"/>
      <w:color w:val="2f5496" w:themeColor="accent1" w:themeShade="BF"/>
      <w:sz w:val="40"/>
      <w:szCs w:val="40"/>
    </w:rPr>
  </w:style>
  <w:style w:type="paragraph" w:styleId="668">
    <w:name w:val="Heading 2"/>
    <w:basedOn w:val="666"/>
    <w:next w:val="666"/>
    <w:link w:val="680"/>
    <w:uiPriority w:val="9"/>
    <w:semiHidden/>
    <w:unhideWhenUsed/>
    <w:qFormat/>
    <w:pPr>
      <w:keepLines/>
      <w:keepNext/>
      <w:spacing w:before="160" w:after="80"/>
      <w:outlineLvl w:val="1"/>
    </w:pPr>
    <w:rPr>
      <w:rFonts w:asciiTheme="majorHAnsi" w:hAnsiTheme="majorHAnsi" w:eastAsiaTheme="majorEastAsia" w:cstheme="majorBidi"/>
      <w:color w:val="2f5496" w:themeColor="accent1" w:themeShade="BF"/>
      <w:sz w:val="32"/>
      <w:szCs w:val="32"/>
    </w:rPr>
  </w:style>
  <w:style w:type="paragraph" w:styleId="669">
    <w:name w:val="Heading 3"/>
    <w:basedOn w:val="666"/>
    <w:next w:val="666"/>
    <w:link w:val="681"/>
    <w:uiPriority w:val="9"/>
    <w:semiHidden/>
    <w:unhideWhenUsed/>
    <w:qFormat/>
    <w:pPr>
      <w:keepLines/>
      <w:keepNext/>
      <w:spacing w:before="160" w:after="80"/>
      <w:outlineLvl w:val="2"/>
    </w:pPr>
    <w:rPr>
      <w:rFonts w:eastAsiaTheme="majorEastAsia" w:cstheme="majorBidi"/>
      <w:color w:val="2f5496" w:themeColor="accent1" w:themeShade="BF"/>
      <w:sz w:val="28"/>
      <w:szCs w:val="28"/>
    </w:rPr>
  </w:style>
  <w:style w:type="paragraph" w:styleId="670">
    <w:name w:val="Heading 4"/>
    <w:basedOn w:val="666"/>
    <w:next w:val="666"/>
    <w:link w:val="682"/>
    <w:uiPriority w:val="9"/>
    <w:semiHidden/>
    <w:unhideWhenUsed/>
    <w:qFormat/>
    <w:pPr>
      <w:keepLines/>
      <w:keepNext/>
      <w:spacing w:before="80" w:after="40"/>
      <w:outlineLvl w:val="3"/>
    </w:pPr>
    <w:rPr>
      <w:rFonts w:eastAsiaTheme="majorEastAsia" w:cstheme="majorBidi"/>
      <w:i/>
      <w:iCs/>
      <w:color w:val="2f5496" w:themeColor="accent1" w:themeShade="BF"/>
    </w:rPr>
  </w:style>
  <w:style w:type="paragraph" w:styleId="671">
    <w:name w:val="Heading 5"/>
    <w:basedOn w:val="666"/>
    <w:next w:val="666"/>
    <w:link w:val="683"/>
    <w:uiPriority w:val="9"/>
    <w:semiHidden/>
    <w:unhideWhenUsed/>
    <w:qFormat/>
    <w:pPr>
      <w:keepLines/>
      <w:keepNext/>
      <w:spacing w:before="80" w:after="40"/>
      <w:outlineLvl w:val="4"/>
    </w:pPr>
    <w:rPr>
      <w:rFonts w:eastAsiaTheme="majorEastAsia" w:cstheme="majorBidi"/>
      <w:color w:val="2f5496" w:themeColor="accent1" w:themeShade="BF"/>
    </w:rPr>
  </w:style>
  <w:style w:type="paragraph" w:styleId="672">
    <w:name w:val="Heading 6"/>
    <w:basedOn w:val="666"/>
    <w:next w:val="666"/>
    <w:link w:val="684"/>
    <w:uiPriority w:val="9"/>
    <w:semiHidden/>
    <w:unhideWhenUsed/>
    <w:qFormat/>
    <w:pPr>
      <w:keepLines/>
      <w:keepNext/>
      <w:spacing w:before="40" w:after="0"/>
      <w:outlineLvl w:val="5"/>
    </w:pPr>
    <w:rPr>
      <w:rFonts w:eastAsiaTheme="majorEastAsia" w:cstheme="majorBidi"/>
      <w:i/>
      <w:iCs/>
      <w:color w:val="595959" w:themeColor="text1" w:themeTint="A6"/>
    </w:rPr>
  </w:style>
  <w:style w:type="paragraph" w:styleId="673">
    <w:name w:val="Heading 7"/>
    <w:basedOn w:val="666"/>
    <w:next w:val="666"/>
    <w:link w:val="685"/>
    <w:uiPriority w:val="9"/>
    <w:semiHidden/>
    <w:unhideWhenUsed/>
    <w:qFormat/>
    <w:pPr>
      <w:keepLines/>
      <w:keepNext/>
      <w:spacing w:before="40" w:after="0"/>
      <w:outlineLvl w:val="6"/>
    </w:pPr>
    <w:rPr>
      <w:rFonts w:eastAsiaTheme="majorEastAsia" w:cstheme="majorBidi"/>
      <w:color w:val="595959" w:themeColor="text1" w:themeTint="A6"/>
    </w:rPr>
  </w:style>
  <w:style w:type="paragraph" w:styleId="674">
    <w:name w:val="Heading 8"/>
    <w:basedOn w:val="666"/>
    <w:next w:val="666"/>
    <w:link w:val="686"/>
    <w:uiPriority w:val="9"/>
    <w:semiHidden/>
    <w:unhideWhenUsed/>
    <w:qFormat/>
    <w:pPr>
      <w:keepLines/>
      <w:keepNext/>
      <w:spacing w:after="0"/>
      <w:outlineLvl w:val="7"/>
    </w:pPr>
    <w:rPr>
      <w:rFonts w:eastAsiaTheme="majorEastAsia" w:cstheme="majorBidi"/>
      <w:i/>
      <w:iCs/>
      <w:color w:val="272727" w:themeColor="text1" w:themeTint="D8"/>
    </w:rPr>
  </w:style>
  <w:style w:type="paragraph" w:styleId="675">
    <w:name w:val="Heading 9"/>
    <w:basedOn w:val="666"/>
    <w:next w:val="666"/>
    <w:link w:val="687"/>
    <w:uiPriority w:val="9"/>
    <w:semiHidden/>
    <w:unhideWhenUsed/>
    <w:qFormat/>
    <w:pPr>
      <w:keepLines/>
      <w:keepNext/>
      <w:spacing w:after="0"/>
      <w:outlineLvl w:val="8"/>
    </w:pPr>
    <w:rPr>
      <w:rFonts w:eastAsiaTheme="majorEastAsia" w:cstheme="majorBidi"/>
      <w:color w:val="272727" w:themeColor="text1" w:themeTint="D8"/>
    </w:rPr>
  </w:style>
  <w:style w:type="character" w:styleId="676" w:default="1">
    <w:name w:val="Default Paragraph Font"/>
    <w:uiPriority w:val="1"/>
    <w:unhideWhenUsed/>
  </w:style>
  <w:style w:type="table" w:styleId="677" w:default="1">
    <w:name w:val="Normal Table"/>
    <w:uiPriority w:val="99"/>
    <w:semiHidden/>
    <w:unhideWhenUsed/>
    <w:tblPr>
      <w:tblInd w:w="0" w:type="dxa"/>
      <w:tblCellMar>
        <w:left w:w="108" w:type="dxa"/>
        <w:top w:w="0" w:type="dxa"/>
        <w:right w:w="108" w:type="dxa"/>
        <w:bottom w:w="0" w:type="dxa"/>
      </w:tblCellMar>
    </w:tblPr>
  </w:style>
  <w:style w:type="numbering" w:styleId="678" w:default="1">
    <w:name w:val="No List"/>
    <w:uiPriority w:val="99"/>
    <w:semiHidden/>
    <w:unhideWhenUsed/>
  </w:style>
  <w:style w:type="character" w:styleId="679" w:customStyle="1">
    <w:name w:val="Заголовок 1 Знак"/>
    <w:basedOn w:val="676"/>
    <w:link w:val="667"/>
    <w:uiPriority w:val="9"/>
    <w:rPr>
      <w:rFonts w:asciiTheme="majorHAnsi" w:hAnsiTheme="majorHAnsi" w:eastAsiaTheme="majorEastAsia" w:cstheme="majorBidi"/>
      <w:color w:val="2f5496" w:themeColor="accent1" w:themeShade="BF"/>
      <w:sz w:val="40"/>
      <w:szCs w:val="40"/>
    </w:rPr>
  </w:style>
  <w:style w:type="character" w:styleId="680" w:customStyle="1">
    <w:name w:val="Заголовок 2 Знак"/>
    <w:basedOn w:val="676"/>
    <w:link w:val="668"/>
    <w:uiPriority w:val="9"/>
    <w:semiHidden/>
    <w:rPr>
      <w:rFonts w:asciiTheme="majorHAnsi" w:hAnsiTheme="majorHAnsi" w:eastAsiaTheme="majorEastAsia" w:cstheme="majorBidi"/>
      <w:color w:val="2f5496" w:themeColor="accent1" w:themeShade="BF"/>
      <w:sz w:val="32"/>
      <w:szCs w:val="32"/>
    </w:rPr>
  </w:style>
  <w:style w:type="character" w:styleId="681" w:customStyle="1">
    <w:name w:val="Заголовок 3 Знак"/>
    <w:basedOn w:val="676"/>
    <w:link w:val="669"/>
    <w:uiPriority w:val="9"/>
    <w:semiHidden/>
    <w:rPr>
      <w:rFonts w:eastAsiaTheme="majorEastAsia" w:cstheme="majorBidi"/>
      <w:color w:val="2f5496" w:themeColor="accent1" w:themeShade="BF"/>
      <w:sz w:val="28"/>
      <w:szCs w:val="28"/>
    </w:rPr>
  </w:style>
  <w:style w:type="character" w:styleId="682" w:customStyle="1">
    <w:name w:val="Заголовок 4 Знак"/>
    <w:basedOn w:val="676"/>
    <w:link w:val="670"/>
    <w:uiPriority w:val="9"/>
    <w:semiHidden/>
    <w:rPr>
      <w:rFonts w:eastAsiaTheme="majorEastAsia" w:cstheme="majorBidi"/>
      <w:i/>
      <w:iCs/>
      <w:color w:val="2f5496" w:themeColor="accent1" w:themeShade="BF"/>
    </w:rPr>
  </w:style>
  <w:style w:type="character" w:styleId="683" w:customStyle="1">
    <w:name w:val="Заголовок 5 Знак"/>
    <w:basedOn w:val="676"/>
    <w:link w:val="671"/>
    <w:uiPriority w:val="9"/>
    <w:semiHidden/>
    <w:rPr>
      <w:rFonts w:eastAsiaTheme="majorEastAsia" w:cstheme="majorBidi"/>
      <w:color w:val="2f5496" w:themeColor="accent1" w:themeShade="BF"/>
    </w:rPr>
  </w:style>
  <w:style w:type="character" w:styleId="684" w:customStyle="1">
    <w:name w:val="Заголовок 6 Знак"/>
    <w:basedOn w:val="676"/>
    <w:link w:val="672"/>
    <w:uiPriority w:val="9"/>
    <w:semiHidden/>
    <w:rPr>
      <w:rFonts w:eastAsiaTheme="majorEastAsia" w:cstheme="majorBidi"/>
      <w:i/>
      <w:iCs/>
      <w:color w:val="595959" w:themeColor="text1" w:themeTint="A6"/>
    </w:rPr>
  </w:style>
  <w:style w:type="character" w:styleId="685" w:customStyle="1">
    <w:name w:val="Заголовок 7 Знак"/>
    <w:basedOn w:val="676"/>
    <w:link w:val="673"/>
    <w:uiPriority w:val="9"/>
    <w:semiHidden/>
    <w:rPr>
      <w:rFonts w:eastAsiaTheme="majorEastAsia" w:cstheme="majorBidi"/>
      <w:color w:val="595959" w:themeColor="text1" w:themeTint="A6"/>
    </w:rPr>
  </w:style>
  <w:style w:type="character" w:styleId="686" w:customStyle="1">
    <w:name w:val="Заголовок 8 Знак"/>
    <w:basedOn w:val="676"/>
    <w:link w:val="674"/>
    <w:uiPriority w:val="9"/>
    <w:semiHidden/>
    <w:rPr>
      <w:rFonts w:eastAsiaTheme="majorEastAsia" w:cstheme="majorBidi"/>
      <w:i/>
      <w:iCs/>
      <w:color w:val="272727" w:themeColor="text1" w:themeTint="D8"/>
    </w:rPr>
  </w:style>
  <w:style w:type="character" w:styleId="687" w:customStyle="1">
    <w:name w:val="Заголовок 9 Знак"/>
    <w:basedOn w:val="676"/>
    <w:link w:val="675"/>
    <w:uiPriority w:val="9"/>
    <w:semiHidden/>
    <w:rPr>
      <w:rFonts w:eastAsiaTheme="majorEastAsia" w:cstheme="majorBidi"/>
      <w:color w:val="272727" w:themeColor="text1" w:themeTint="D8"/>
    </w:rPr>
  </w:style>
  <w:style w:type="paragraph" w:styleId="688">
    <w:name w:val="Title"/>
    <w:basedOn w:val="666"/>
    <w:next w:val="666"/>
    <w:link w:val="689"/>
    <w:uiPriority w:val="10"/>
    <w:qFormat/>
    <w:pPr>
      <w:contextualSpacing/>
      <w:spacing w:after="80" w:line="240" w:lineRule="auto"/>
    </w:pPr>
    <w:rPr>
      <w:rFonts w:asciiTheme="majorHAnsi" w:hAnsiTheme="majorHAnsi" w:eastAsiaTheme="majorEastAsia" w:cstheme="majorBidi"/>
      <w:spacing w:val="-10"/>
      <w:sz w:val="56"/>
      <w:szCs w:val="56"/>
    </w:rPr>
  </w:style>
  <w:style w:type="character" w:styleId="689" w:customStyle="1">
    <w:name w:val="Заголовок Знак"/>
    <w:basedOn w:val="676"/>
    <w:link w:val="688"/>
    <w:uiPriority w:val="10"/>
    <w:rPr>
      <w:rFonts w:asciiTheme="majorHAnsi" w:hAnsiTheme="majorHAnsi" w:eastAsiaTheme="majorEastAsia" w:cstheme="majorBidi"/>
      <w:spacing w:val="-10"/>
      <w:sz w:val="56"/>
      <w:szCs w:val="56"/>
    </w:rPr>
  </w:style>
  <w:style w:type="paragraph" w:styleId="690">
    <w:name w:val="Subtitle"/>
    <w:basedOn w:val="666"/>
    <w:next w:val="666"/>
    <w:link w:val="691"/>
    <w:uiPriority w:val="11"/>
    <w:qFormat/>
    <w:pPr>
      <w:numPr>
        <w:ilvl w:val="1"/>
      </w:numPr>
    </w:pPr>
    <w:rPr>
      <w:rFonts w:eastAsiaTheme="majorEastAsia" w:cstheme="majorBidi"/>
      <w:color w:val="595959" w:themeColor="text1" w:themeTint="A6"/>
      <w:spacing w:val="15"/>
      <w:sz w:val="28"/>
      <w:szCs w:val="28"/>
    </w:rPr>
  </w:style>
  <w:style w:type="character" w:styleId="691" w:customStyle="1">
    <w:name w:val="Подзаголовок Знак"/>
    <w:basedOn w:val="676"/>
    <w:link w:val="690"/>
    <w:uiPriority w:val="11"/>
    <w:rPr>
      <w:rFonts w:eastAsiaTheme="majorEastAsia" w:cstheme="majorBidi"/>
      <w:color w:val="595959" w:themeColor="text1" w:themeTint="A6"/>
      <w:spacing w:val="15"/>
      <w:sz w:val="28"/>
      <w:szCs w:val="28"/>
    </w:rPr>
  </w:style>
  <w:style w:type="paragraph" w:styleId="692">
    <w:name w:val="Quote"/>
    <w:basedOn w:val="666"/>
    <w:next w:val="666"/>
    <w:link w:val="693"/>
    <w:uiPriority w:val="29"/>
    <w:qFormat/>
    <w:pPr>
      <w:jc w:val="center"/>
      <w:spacing w:before="160"/>
    </w:pPr>
    <w:rPr>
      <w:i/>
      <w:iCs/>
      <w:color w:val="404040" w:themeColor="text1" w:themeTint="BF"/>
    </w:rPr>
  </w:style>
  <w:style w:type="character" w:styleId="693" w:customStyle="1">
    <w:name w:val="Цитата 2 Знак"/>
    <w:basedOn w:val="676"/>
    <w:link w:val="692"/>
    <w:uiPriority w:val="29"/>
    <w:rPr>
      <w:i/>
      <w:iCs/>
      <w:color w:val="404040" w:themeColor="text1" w:themeTint="BF"/>
    </w:rPr>
  </w:style>
  <w:style w:type="paragraph" w:styleId="694">
    <w:name w:val="List Paragraph"/>
    <w:basedOn w:val="666"/>
    <w:uiPriority w:val="34"/>
    <w:qFormat/>
    <w:pPr>
      <w:contextualSpacing/>
      <w:ind w:left="720"/>
    </w:pPr>
  </w:style>
  <w:style w:type="character" w:styleId="695">
    <w:name w:val="Intense Emphasis"/>
    <w:basedOn w:val="676"/>
    <w:uiPriority w:val="21"/>
    <w:qFormat/>
    <w:rPr>
      <w:i/>
      <w:iCs/>
      <w:color w:val="2f5496" w:themeColor="accent1" w:themeShade="BF"/>
    </w:rPr>
  </w:style>
  <w:style w:type="paragraph" w:styleId="696">
    <w:name w:val="Intense Quote"/>
    <w:basedOn w:val="666"/>
    <w:next w:val="666"/>
    <w:link w:val="697"/>
    <w:uiPriority w:val="30"/>
    <w:qFormat/>
    <w:pPr>
      <w:ind w:left="864" w:right="864"/>
      <w:jc w:val="center"/>
      <w:spacing w:before="360" w:after="360"/>
      <w:pBdr>
        <w:top w:val="single" w:color="2F5496" w:themeColor="accent1" w:themeShade="BF" w:sz="4" w:space="10"/>
        <w:bottom w:val="single" w:color="2F5496" w:themeColor="accent1" w:themeShade="BF" w:sz="4" w:space="10"/>
      </w:pBdr>
    </w:pPr>
    <w:rPr>
      <w:i/>
      <w:iCs/>
      <w:color w:val="2f5496" w:themeColor="accent1" w:themeShade="BF"/>
    </w:rPr>
  </w:style>
  <w:style w:type="character" w:styleId="697" w:customStyle="1">
    <w:name w:val="Выделенная цитата Знак"/>
    <w:basedOn w:val="676"/>
    <w:link w:val="696"/>
    <w:uiPriority w:val="30"/>
    <w:rPr>
      <w:i/>
      <w:iCs/>
      <w:color w:val="2f5496" w:themeColor="accent1" w:themeShade="BF"/>
    </w:rPr>
  </w:style>
  <w:style w:type="character" w:styleId="698">
    <w:name w:val="Intense Reference"/>
    <w:basedOn w:val="676"/>
    <w:uiPriority w:val="32"/>
    <w:qFormat/>
    <w:rPr>
      <w:b/>
      <w:bCs/>
      <w:smallCaps/>
      <w:color w:val="2f5496" w:themeColor="accent1" w:themeShade="BF"/>
      <w:spacing w:val="5"/>
    </w:rPr>
  </w:style>
  <w:style w:type="character" w:styleId="699">
    <w:name w:val="Hyperlink"/>
    <w:basedOn w:val="676"/>
    <w:uiPriority w:val="99"/>
    <w:unhideWhenUsed/>
    <w:rPr>
      <w:color w:val="0563c1" w:themeColor="hyperlink"/>
      <w:u w:val="single"/>
    </w:rPr>
  </w:style>
  <w:style w:type="character" w:styleId="700">
    <w:name w:val="Unresolved Mention"/>
    <w:basedOn w:val="676"/>
    <w:uiPriority w:val="99"/>
    <w:semiHidden/>
    <w:unhideWhenUsed/>
    <w:rPr>
      <w:color w:val="605e5c"/>
      <w:shd w:val="clear" w:color="auto" w:fill="e1dfdd"/>
    </w:rPr>
  </w:style>
  <w:style w:type="character" w:styleId="701">
    <w:name w:val="FollowedHyperlink"/>
    <w:basedOn w:val="676"/>
    <w:uiPriority w:val="99"/>
    <w:semiHidden/>
    <w:unhideWhenUsed/>
    <w:rPr>
      <w:color w:val="954f72" w:themeColor="followedHyperlink"/>
      <w:u w:val="single"/>
    </w:rPr>
  </w:style>
  <w:style w:type="character" w:styleId="702">
    <w:name w:val="Strong"/>
    <w:basedOn w:val="676"/>
    <w:uiPriority w:val="22"/>
    <w:qFormat/>
    <w:rPr>
      <w:b/>
      <w:bCs/>
    </w:rPr>
  </w:style>
  <w:style w:type="paragraph" w:styleId="703" w:customStyle="1">
    <w:name w:val="ds-markdown-paragraph"/>
    <w:basedOn w:val="666"/>
    <w:pPr>
      <w:spacing w:before="100" w:beforeAutospacing="1" w:after="100" w:afterAutospacing="1" w:line="240" w:lineRule="auto"/>
    </w:pPr>
    <w:rPr>
      <w:rFonts w:ascii="Times New Roman" w:hAnsi="Times New Roman" w:eastAsia="Times New Roman" w:cs="Times New Roman"/>
      <w:sz w:val="24"/>
      <w:szCs w:val="24"/>
      <w:lang w:eastAsia="ru-RU"/>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tel:info_letout@globalvsn.com" TargetMode="External"/><Relationship Id="rId10" Type="http://schemas.openxmlformats.org/officeDocument/2006/relationships/hyperlink" Target="https://letoutmall.ru/" TargetMode="External"/><Relationship Id="rId11" Type="http://schemas.openxmlformats.org/officeDocument/2006/relationships/hyperlink" Target="tel:info_letout@globalvsn.co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r7-office/2025.3.2.1000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Котова Ирина Александровна</dc:creator>
  <cp:keywords/>
  <dc:description/>
  <cp:lastModifiedBy>Анастасия Сукачева</cp:lastModifiedBy>
  <cp:revision>6</cp:revision>
  <dcterms:created xsi:type="dcterms:W3CDTF">2026-03-05T10:05:00Z</dcterms:created>
  <dcterms:modified xsi:type="dcterms:W3CDTF">2026-04-06T11:09:11Z</dcterms:modified>
</cp:coreProperties>
</file>